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CFDBC6">
      <w:pPr>
        <w:pStyle w:val="83"/>
        <w:tabs>
          <w:tab w:val="right" w:pos="9639"/>
        </w:tabs>
        <w:spacing w:after="0"/>
        <w:rPr>
          <w:rFonts w:hint="default"/>
          <w:b/>
          <w:i/>
          <w:sz w:val="28"/>
          <w:lang w:val="fr-FR" w:eastAsia="zh-CN"/>
        </w:rPr>
      </w:pPr>
      <w:r>
        <w:rPr>
          <w:b/>
          <w:sz w:val="24"/>
        </w:rPr>
        <w:t>3GPP TSG-RAN WG2 Meeting #132</w:t>
      </w:r>
      <w:r>
        <w:rPr>
          <w:b/>
          <w:i/>
          <w:sz w:val="28"/>
        </w:rPr>
        <w:tab/>
      </w:r>
      <w:r>
        <w:rPr>
          <w:b/>
          <w:sz w:val="28"/>
        </w:rPr>
        <w:t>R2-250</w:t>
      </w:r>
      <w:r>
        <w:rPr>
          <w:rFonts w:hint="default"/>
          <w:b/>
          <w:sz w:val="28"/>
          <w:lang w:val="fr-FR"/>
        </w:rPr>
        <w:t>9192</w:t>
      </w:r>
    </w:p>
    <w:p w14:paraId="6F2EEB2E">
      <w:pPr>
        <w:pStyle w:val="83"/>
        <w:outlineLvl w:val="0"/>
        <w:rPr>
          <w:i/>
          <w:sz w:val="24"/>
        </w:rPr>
      </w:pPr>
      <w:r>
        <w:rPr>
          <w:rFonts w:cs="Arial" w:eastAsiaTheme="minorEastAsia"/>
          <w:b/>
          <w:sz w:val="24"/>
          <w:lang w:eastAsia="zh-CN"/>
        </w:rPr>
        <w:t>Dallas</w:t>
      </w:r>
      <w:r>
        <w:rPr>
          <w:rFonts w:hint="eastAsia" w:cs="Arial" w:eastAsiaTheme="minorEastAsia"/>
          <w:b/>
          <w:sz w:val="24"/>
          <w:lang w:eastAsia="zh-CN"/>
        </w:rPr>
        <w:t xml:space="preserve">, </w:t>
      </w:r>
      <w:r>
        <w:rPr>
          <w:rFonts w:cs="Arial" w:eastAsiaTheme="minorEastAsia"/>
          <w:b/>
          <w:sz w:val="24"/>
          <w:lang w:eastAsia="zh-CN"/>
        </w:rPr>
        <w:t>US</w:t>
      </w:r>
      <w:r>
        <w:rPr>
          <w:rFonts w:eastAsia="MS Mincho" w:cs="Arial"/>
          <w:b/>
          <w:sz w:val="24"/>
          <w:lang w:eastAsia="zh-CN"/>
        </w:rPr>
        <w:t xml:space="preserve">, </w:t>
      </w:r>
      <w:r>
        <w:rPr>
          <w:rFonts w:cs="Arial" w:eastAsiaTheme="minorEastAsia"/>
          <w:b/>
          <w:sz w:val="24"/>
          <w:lang w:eastAsia="zh-CN"/>
        </w:rPr>
        <w:t>17–21</w:t>
      </w:r>
      <w:r>
        <w:rPr>
          <w:rFonts w:hint="eastAsia" w:cs="Arial" w:eastAsiaTheme="minorEastAsia"/>
          <w:b/>
          <w:sz w:val="24"/>
          <w:lang w:eastAsia="zh-CN"/>
        </w:rPr>
        <w:t xml:space="preserve"> </w:t>
      </w:r>
      <w:r>
        <w:rPr>
          <w:rFonts w:cs="Arial" w:eastAsiaTheme="minorEastAsia"/>
          <w:b/>
          <w:sz w:val="24"/>
          <w:lang w:eastAsia="zh-CN"/>
        </w:rPr>
        <w:t>November</w:t>
      </w:r>
      <w:r>
        <w:rPr>
          <w:rFonts w:hint="eastAsia" w:cs="Arial" w:eastAsiaTheme="minorEastAsia"/>
          <w:b/>
          <w:sz w:val="24"/>
          <w:lang w:eastAsia="zh-CN"/>
        </w:rPr>
        <w:t xml:space="preserve">, </w:t>
      </w:r>
      <w:r>
        <w:rPr>
          <w:rFonts w:eastAsia="MS Mincho" w:cs="Arial"/>
          <w:b/>
          <w:sz w:val="24"/>
          <w:lang w:eastAsia="zh-CN"/>
        </w:rPr>
        <w:t>202</w:t>
      </w:r>
      <w:r>
        <w:rPr>
          <w:rFonts w:hint="eastAsia" w:cs="Arial" w:eastAsiaTheme="minorEastAsia"/>
          <w:b/>
          <w:sz w:val="24"/>
          <w:lang w:eastAsia="zh-CN"/>
        </w:rPr>
        <w:t>5</w:t>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974BB4F">
        <w:tc>
          <w:tcPr>
            <w:tcW w:w="9641" w:type="dxa"/>
            <w:gridSpan w:val="9"/>
            <w:tcBorders>
              <w:top w:val="single" w:color="auto" w:sz="4" w:space="0"/>
              <w:left w:val="single" w:color="auto" w:sz="4" w:space="0"/>
              <w:right w:val="single" w:color="auto" w:sz="4" w:space="0"/>
            </w:tcBorders>
          </w:tcPr>
          <w:p w14:paraId="76014303">
            <w:pPr>
              <w:pStyle w:val="83"/>
              <w:spacing w:after="0"/>
              <w:jc w:val="right"/>
              <w:rPr>
                <w:i/>
              </w:rPr>
            </w:pPr>
            <w:r>
              <w:rPr>
                <w:i/>
                <w:sz w:val="14"/>
              </w:rPr>
              <w:t>CR-Form-v12.3</w:t>
            </w:r>
          </w:p>
        </w:tc>
      </w:tr>
      <w:tr w14:paraId="59D5E67F">
        <w:tc>
          <w:tcPr>
            <w:tcW w:w="9641" w:type="dxa"/>
            <w:gridSpan w:val="9"/>
            <w:tcBorders>
              <w:left w:val="single" w:color="auto" w:sz="4" w:space="0"/>
              <w:right w:val="single" w:color="auto" w:sz="4" w:space="0"/>
            </w:tcBorders>
          </w:tcPr>
          <w:p w14:paraId="7E428ADB">
            <w:pPr>
              <w:pStyle w:val="83"/>
              <w:spacing w:after="0"/>
              <w:jc w:val="center"/>
            </w:pPr>
            <w:r>
              <w:rPr>
                <w:b/>
                <w:sz w:val="32"/>
              </w:rPr>
              <w:t>CHANGE REQUEST</w:t>
            </w:r>
          </w:p>
        </w:tc>
      </w:tr>
      <w:tr w14:paraId="429B7113">
        <w:tc>
          <w:tcPr>
            <w:tcW w:w="9641" w:type="dxa"/>
            <w:gridSpan w:val="9"/>
            <w:tcBorders>
              <w:left w:val="single" w:color="auto" w:sz="4" w:space="0"/>
              <w:right w:val="single" w:color="auto" w:sz="4" w:space="0"/>
            </w:tcBorders>
          </w:tcPr>
          <w:p w14:paraId="7DF8888C">
            <w:pPr>
              <w:pStyle w:val="83"/>
              <w:spacing w:after="0"/>
              <w:rPr>
                <w:sz w:val="8"/>
                <w:szCs w:val="8"/>
              </w:rPr>
            </w:pPr>
          </w:p>
        </w:tc>
      </w:tr>
      <w:tr w14:paraId="5FB959E7">
        <w:tc>
          <w:tcPr>
            <w:tcW w:w="142" w:type="dxa"/>
            <w:tcBorders>
              <w:left w:val="single" w:color="auto" w:sz="4" w:space="0"/>
            </w:tcBorders>
          </w:tcPr>
          <w:p w14:paraId="604DB673">
            <w:pPr>
              <w:pStyle w:val="83"/>
              <w:spacing w:after="0"/>
              <w:jc w:val="right"/>
            </w:pPr>
          </w:p>
        </w:tc>
        <w:tc>
          <w:tcPr>
            <w:tcW w:w="1559" w:type="dxa"/>
            <w:shd w:val="pct30" w:color="FFFF00" w:fill="auto"/>
          </w:tcPr>
          <w:p w14:paraId="205D3DBC">
            <w:pPr>
              <w:pStyle w:val="83"/>
              <w:spacing w:after="0"/>
              <w:jc w:val="right"/>
              <w:rPr>
                <w:b/>
                <w:sz w:val="28"/>
                <w:lang w:eastAsia="zh-CN"/>
              </w:rPr>
            </w:pPr>
            <w:r>
              <w:fldChar w:fldCharType="begin"/>
            </w:r>
            <w:r>
              <w:instrText xml:space="preserve"> DOCPROPERTY  Spec#  \* MERGEFORMAT </w:instrText>
            </w:r>
            <w:r>
              <w:fldChar w:fldCharType="separate"/>
            </w:r>
            <w:r>
              <w:rPr>
                <w:b/>
                <w:sz w:val="28"/>
              </w:rPr>
              <w:t>38.300</w:t>
            </w:r>
            <w:r>
              <w:rPr>
                <w:b/>
                <w:sz w:val="28"/>
              </w:rPr>
              <w:fldChar w:fldCharType="end"/>
            </w:r>
          </w:p>
        </w:tc>
        <w:tc>
          <w:tcPr>
            <w:tcW w:w="709" w:type="dxa"/>
          </w:tcPr>
          <w:p w14:paraId="3416149D">
            <w:pPr>
              <w:pStyle w:val="83"/>
              <w:spacing w:after="0"/>
              <w:jc w:val="center"/>
            </w:pPr>
            <w:r>
              <w:rPr>
                <w:b/>
                <w:sz w:val="28"/>
              </w:rPr>
              <w:t>CR</w:t>
            </w:r>
          </w:p>
        </w:tc>
        <w:tc>
          <w:tcPr>
            <w:tcW w:w="1276" w:type="dxa"/>
            <w:shd w:val="pct30" w:color="FFFF00" w:fill="auto"/>
          </w:tcPr>
          <w:p w14:paraId="4E21912B">
            <w:pPr>
              <w:pStyle w:val="83"/>
              <w:spacing w:after="0"/>
              <w:jc w:val="center"/>
              <w:rPr>
                <w:lang w:eastAsia="zh-CN"/>
              </w:rPr>
            </w:pPr>
            <w:r>
              <w:rPr>
                <w:b/>
                <w:sz w:val="28"/>
              </w:rPr>
              <w:t>1047</w:t>
            </w:r>
          </w:p>
        </w:tc>
        <w:tc>
          <w:tcPr>
            <w:tcW w:w="709" w:type="dxa"/>
          </w:tcPr>
          <w:p w14:paraId="78CAF90E">
            <w:pPr>
              <w:pStyle w:val="83"/>
              <w:tabs>
                <w:tab w:val="right" w:pos="625"/>
              </w:tabs>
              <w:spacing w:after="0"/>
              <w:jc w:val="center"/>
            </w:pPr>
            <w:r>
              <w:rPr>
                <w:b/>
                <w:bCs/>
                <w:sz w:val="28"/>
              </w:rPr>
              <w:t>rev</w:t>
            </w:r>
          </w:p>
        </w:tc>
        <w:tc>
          <w:tcPr>
            <w:tcW w:w="992" w:type="dxa"/>
            <w:shd w:val="pct30" w:color="FFFF00" w:fill="auto"/>
          </w:tcPr>
          <w:p w14:paraId="1DC19782">
            <w:pPr>
              <w:pStyle w:val="83"/>
              <w:spacing w:after="0"/>
              <w:jc w:val="center"/>
              <w:rPr>
                <w:b/>
                <w:lang w:eastAsia="zh-CN"/>
              </w:rPr>
            </w:pPr>
            <w:r>
              <w:rPr>
                <w:rFonts w:hint="default"/>
                <w:b/>
                <w:sz w:val="28"/>
                <w:lang w:val="fr-FR"/>
              </w:rPr>
              <w:t>3</w:t>
            </w:r>
          </w:p>
        </w:tc>
        <w:tc>
          <w:tcPr>
            <w:tcW w:w="2410" w:type="dxa"/>
          </w:tcPr>
          <w:p w14:paraId="26DE0ECD">
            <w:pPr>
              <w:pStyle w:val="83"/>
              <w:tabs>
                <w:tab w:val="right" w:pos="1825"/>
              </w:tabs>
              <w:spacing w:after="0"/>
              <w:jc w:val="center"/>
            </w:pPr>
            <w:r>
              <w:rPr>
                <w:b/>
                <w:sz w:val="28"/>
                <w:szCs w:val="28"/>
              </w:rPr>
              <w:t>Current version:</w:t>
            </w:r>
          </w:p>
        </w:tc>
        <w:tc>
          <w:tcPr>
            <w:tcW w:w="1701" w:type="dxa"/>
            <w:shd w:val="pct30" w:color="FFFF00" w:fill="auto"/>
          </w:tcPr>
          <w:p w14:paraId="2FEA8745">
            <w:pPr>
              <w:pStyle w:val="83"/>
              <w:spacing w:after="0"/>
              <w:jc w:val="center"/>
              <w:rPr>
                <w:sz w:val="28"/>
              </w:rPr>
            </w:pPr>
            <w:r>
              <w:fldChar w:fldCharType="begin"/>
            </w:r>
            <w:r>
              <w:instrText xml:space="preserve"> DOCPROPERTY  Version  \* MERGEFORMAT </w:instrText>
            </w:r>
            <w:r>
              <w:fldChar w:fldCharType="separate"/>
            </w:r>
            <w:r>
              <w:rPr>
                <w:b/>
                <w:sz w:val="28"/>
              </w:rPr>
              <w:t>19.</w:t>
            </w:r>
            <w:r>
              <w:rPr>
                <w:b/>
                <w:sz w:val="28"/>
                <w:lang w:eastAsia="zh-CN"/>
              </w:rPr>
              <w:t>0</w:t>
            </w:r>
            <w:r>
              <w:rPr>
                <w:b/>
                <w:sz w:val="28"/>
              </w:rPr>
              <w:t>.0</w:t>
            </w:r>
            <w:r>
              <w:rPr>
                <w:b/>
                <w:sz w:val="28"/>
              </w:rPr>
              <w:fldChar w:fldCharType="end"/>
            </w:r>
          </w:p>
        </w:tc>
        <w:tc>
          <w:tcPr>
            <w:tcW w:w="143" w:type="dxa"/>
            <w:tcBorders>
              <w:right w:val="single" w:color="auto" w:sz="4" w:space="0"/>
            </w:tcBorders>
          </w:tcPr>
          <w:p w14:paraId="53542FC4">
            <w:pPr>
              <w:pStyle w:val="83"/>
              <w:spacing w:after="0"/>
            </w:pPr>
          </w:p>
        </w:tc>
      </w:tr>
      <w:tr w14:paraId="6F8CE648">
        <w:tc>
          <w:tcPr>
            <w:tcW w:w="9641" w:type="dxa"/>
            <w:gridSpan w:val="9"/>
            <w:tcBorders>
              <w:left w:val="single" w:color="auto" w:sz="4" w:space="0"/>
              <w:right w:val="single" w:color="auto" w:sz="4" w:space="0"/>
            </w:tcBorders>
          </w:tcPr>
          <w:p w14:paraId="64BADBBE">
            <w:pPr>
              <w:pStyle w:val="83"/>
              <w:spacing w:after="0"/>
            </w:pPr>
          </w:p>
        </w:tc>
      </w:tr>
      <w:tr w14:paraId="2D4F7405">
        <w:tc>
          <w:tcPr>
            <w:tcW w:w="9641" w:type="dxa"/>
            <w:gridSpan w:val="9"/>
            <w:tcBorders>
              <w:top w:val="single" w:color="auto" w:sz="4" w:space="0"/>
            </w:tcBorders>
          </w:tcPr>
          <w:p w14:paraId="0B6B4555">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5"/>
                <w:rFonts w:cs="Arial"/>
                <w:b/>
                <w:i/>
                <w:color w:val="FF0000"/>
              </w:rPr>
              <w:t>HE</w:t>
            </w:r>
            <w:bookmarkStart w:id="0" w:name="_Hlt497126619"/>
            <w:r>
              <w:rPr>
                <w:rStyle w:val="25"/>
                <w:rFonts w:cs="Arial"/>
                <w:b/>
                <w:i/>
                <w:color w:val="FF0000"/>
              </w:rPr>
              <w:t>L</w:t>
            </w:r>
            <w:bookmarkEnd w:id="0"/>
            <w:r>
              <w:rPr>
                <w:rStyle w:val="25"/>
                <w:rFonts w:cs="Arial"/>
                <w:b/>
                <w:i/>
                <w:color w:val="FF0000"/>
              </w:rPr>
              <w:t>P</w:t>
            </w:r>
            <w:r>
              <w:rPr>
                <w:rStyle w:val="2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5"/>
                <w:rFonts w:cs="Arial"/>
                <w:i/>
              </w:rPr>
              <w:t>http://www.3gpp.org/Change-Requests</w:t>
            </w:r>
            <w:r>
              <w:rPr>
                <w:rStyle w:val="25"/>
                <w:rFonts w:cs="Arial"/>
                <w:i/>
              </w:rPr>
              <w:fldChar w:fldCharType="end"/>
            </w:r>
            <w:r>
              <w:rPr>
                <w:rFonts w:cs="Arial"/>
                <w:i/>
              </w:rPr>
              <w:t>.</w:t>
            </w:r>
          </w:p>
        </w:tc>
      </w:tr>
      <w:tr w14:paraId="38B0ABC9">
        <w:tc>
          <w:tcPr>
            <w:tcW w:w="9641" w:type="dxa"/>
            <w:gridSpan w:val="9"/>
          </w:tcPr>
          <w:p w14:paraId="5C22A8C0">
            <w:pPr>
              <w:pStyle w:val="83"/>
              <w:spacing w:after="0"/>
              <w:rPr>
                <w:sz w:val="8"/>
                <w:szCs w:val="8"/>
              </w:rPr>
            </w:pPr>
          </w:p>
        </w:tc>
      </w:tr>
    </w:tbl>
    <w:p w14:paraId="6CBB1648">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CCC80BD">
        <w:tc>
          <w:tcPr>
            <w:tcW w:w="2835" w:type="dxa"/>
          </w:tcPr>
          <w:p w14:paraId="6052C74F">
            <w:pPr>
              <w:pStyle w:val="83"/>
              <w:tabs>
                <w:tab w:val="right" w:pos="2751"/>
              </w:tabs>
              <w:spacing w:after="0"/>
              <w:rPr>
                <w:b/>
                <w:i/>
              </w:rPr>
            </w:pPr>
            <w:r>
              <w:rPr>
                <w:b/>
                <w:i/>
              </w:rPr>
              <w:t>Proposed change affects:</w:t>
            </w:r>
          </w:p>
        </w:tc>
        <w:tc>
          <w:tcPr>
            <w:tcW w:w="1418" w:type="dxa"/>
          </w:tcPr>
          <w:p w14:paraId="62B504FA">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58CDE82">
            <w:pPr>
              <w:pStyle w:val="83"/>
              <w:spacing w:after="0"/>
              <w:jc w:val="center"/>
              <w:rPr>
                <w:b/>
                <w:caps/>
              </w:rPr>
            </w:pPr>
          </w:p>
        </w:tc>
        <w:tc>
          <w:tcPr>
            <w:tcW w:w="709" w:type="dxa"/>
            <w:tcBorders>
              <w:left w:val="single" w:color="auto" w:sz="4" w:space="0"/>
            </w:tcBorders>
          </w:tcPr>
          <w:p w14:paraId="18410C74">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2876ED9">
            <w:pPr>
              <w:pStyle w:val="83"/>
              <w:spacing w:after="0"/>
              <w:jc w:val="center"/>
              <w:rPr>
                <w:b/>
                <w:caps/>
              </w:rPr>
            </w:pPr>
            <w:r>
              <w:rPr>
                <w:b/>
                <w:caps/>
              </w:rPr>
              <w:t>X</w:t>
            </w:r>
          </w:p>
        </w:tc>
        <w:tc>
          <w:tcPr>
            <w:tcW w:w="2126" w:type="dxa"/>
          </w:tcPr>
          <w:p w14:paraId="70B430DA">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BC319F9">
            <w:pPr>
              <w:pStyle w:val="83"/>
              <w:spacing w:after="0"/>
              <w:jc w:val="center"/>
              <w:rPr>
                <w:b/>
                <w:caps/>
              </w:rPr>
            </w:pPr>
            <w:r>
              <w:rPr>
                <w:b/>
                <w:caps/>
              </w:rPr>
              <w:t>X</w:t>
            </w:r>
          </w:p>
        </w:tc>
        <w:tc>
          <w:tcPr>
            <w:tcW w:w="1418" w:type="dxa"/>
            <w:tcBorders>
              <w:left w:val="nil"/>
            </w:tcBorders>
          </w:tcPr>
          <w:p w14:paraId="16C84C30">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D1F820A">
            <w:pPr>
              <w:pStyle w:val="83"/>
              <w:spacing w:after="0"/>
              <w:jc w:val="center"/>
              <w:rPr>
                <w:b/>
                <w:bCs/>
                <w:caps/>
              </w:rPr>
            </w:pPr>
          </w:p>
        </w:tc>
      </w:tr>
    </w:tbl>
    <w:p w14:paraId="2C73BAF6">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79975245">
        <w:tc>
          <w:tcPr>
            <w:tcW w:w="9640" w:type="dxa"/>
            <w:gridSpan w:val="11"/>
          </w:tcPr>
          <w:p w14:paraId="6ED84336">
            <w:pPr>
              <w:pStyle w:val="83"/>
              <w:spacing w:after="0"/>
              <w:rPr>
                <w:sz w:val="8"/>
                <w:szCs w:val="8"/>
              </w:rPr>
            </w:pPr>
          </w:p>
        </w:tc>
      </w:tr>
      <w:tr w14:paraId="27C8CC1A">
        <w:tc>
          <w:tcPr>
            <w:tcW w:w="1843" w:type="dxa"/>
            <w:tcBorders>
              <w:top w:val="single" w:color="auto" w:sz="4" w:space="0"/>
              <w:left w:val="single" w:color="auto" w:sz="4" w:space="0"/>
            </w:tcBorders>
          </w:tcPr>
          <w:p w14:paraId="3D3C1162">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4473C13B">
            <w:pPr>
              <w:pStyle w:val="83"/>
              <w:spacing w:after="0"/>
              <w:ind w:left="100"/>
            </w:pPr>
            <w:r>
              <w:t>Miscellaneous Stage 2 corrections for NR NTN phase 3</w:t>
            </w:r>
          </w:p>
        </w:tc>
      </w:tr>
      <w:tr w14:paraId="6A4CDD16">
        <w:tc>
          <w:tcPr>
            <w:tcW w:w="1843" w:type="dxa"/>
            <w:tcBorders>
              <w:left w:val="single" w:color="auto" w:sz="4" w:space="0"/>
            </w:tcBorders>
          </w:tcPr>
          <w:p w14:paraId="5D4AC8DA">
            <w:pPr>
              <w:pStyle w:val="83"/>
              <w:spacing w:after="0"/>
              <w:rPr>
                <w:b/>
                <w:i/>
                <w:sz w:val="8"/>
                <w:szCs w:val="8"/>
              </w:rPr>
            </w:pPr>
          </w:p>
        </w:tc>
        <w:tc>
          <w:tcPr>
            <w:tcW w:w="7797" w:type="dxa"/>
            <w:gridSpan w:val="10"/>
            <w:tcBorders>
              <w:right w:val="single" w:color="auto" w:sz="4" w:space="0"/>
            </w:tcBorders>
          </w:tcPr>
          <w:p w14:paraId="19083102">
            <w:pPr>
              <w:pStyle w:val="83"/>
              <w:spacing w:after="0"/>
              <w:rPr>
                <w:sz w:val="8"/>
                <w:szCs w:val="8"/>
              </w:rPr>
            </w:pPr>
          </w:p>
        </w:tc>
      </w:tr>
      <w:tr w14:paraId="370C489A">
        <w:tc>
          <w:tcPr>
            <w:tcW w:w="1843" w:type="dxa"/>
            <w:tcBorders>
              <w:left w:val="single" w:color="auto" w:sz="4" w:space="0"/>
            </w:tcBorders>
          </w:tcPr>
          <w:p w14:paraId="21CA7A26">
            <w:pPr>
              <w:pStyle w:val="83"/>
              <w:tabs>
                <w:tab w:val="right" w:pos="1759"/>
              </w:tabs>
              <w:spacing w:after="0"/>
              <w:rPr>
                <w:b/>
                <w:i/>
              </w:rPr>
            </w:pPr>
            <w:bookmarkStart w:id="1" w:name="_Hlk167410549"/>
            <w:r>
              <w:rPr>
                <w:b/>
                <w:i/>
              </w:rPr>
              <w:t>Source to WG:</w:t>
            </w:r>
          </w:p>
        </w:tc>
        <w:tc>
          <w:tcPr>
            <w:tcW w:w="7797" w:type="dxa"/>
            <w:gridSpan w:val="10"/>
            <w:tcBorders>
              <w:right w:val="single" w:color="auto" w:sz="4" w:space="0"/>
            </w:tcBorders>
            <w:shd w:val="pct30" w:color="FFFF00" w:fill="auto"/>
          </w:tcPr>
          <w:p w14:paraId="6FBCBF85">
            <w:pPr>
              <w:pStyle w:val="83"/>
              <w:spacing w:after="0"/>
              <w:ind w:left="100"/>
              <w:rPr>
                <w:lang w:eastAsia="zh-CN"/>
              </w:rPr>
            </w:pPr>
            <w:r>
              <w:rPr>
                <w:lang w:eastAsia="zh-CN"/>
              </w:rPr>
              <w:t>THALES (Rapporteur)</w:t>
            </w:r>
          </w:p>
        </w:tc>
      </w:tr>
      <w:bookmarkEnd w:id="1"/>
      <w:tr w14:paraId="6D407337">
        <w:tc>
          <w:tcPr>
            <w:tcW w:w="1843" w:type="dxa"/>
            <w:tcBorders>
              <w:left w:val="single" w:color="auto" w:sz="4" w:space="0"/>
            </w:tcBorders>
          </w:tcPr>
          <w:p w14:paraId="6D4A1C60">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4F2F864F">
            <w:pPr>
              <w:pStyle w:val="83"/>
              <w:spacing w:after="0"/>
              <w:ind w:left="100"/>
            </w:pPr>
            <w:r>
              <w:fldChar w:fldCharType="begin"/>
            </w:r>
            <w:r>
              <w:instrText xml:space="preserve"> DOCPROPERTY  SourceIfTsg  \* MERGEFORMAT </w:instrText>
            </w:r>
            <w:r>
              <w:fldChar w:fldCharType="separate"/>
            </w:r>
            <w:r>
              <w:t>R2</w:t>
            </w:r>
            <w:r>
              <w:fldChar w:fldCharType="end"/>
            </w:r>
          </w:p>
        </w:tc>
      </w:tr>
      <w:tr w14:paraId="34551C00">
        <w:tc>
          <w:tcPr>
            <w:tcW w:w="1843" w:type="dxa"/>
            <w:tcBorders>
              <w:left w:val="single" w:color="auto" w:sz="4" w:space="0"/>
            </w:tcBorders>
          </w:tcPr>
          <w:p w14:paraId="5C91021C">
            <w:pPr>
              <w:pStyle w:val="83"/>
              <w:spacing w:after="0"/>
              <w:rPr>
                <w:b/>
                <w:i/>
                <w:sz w:val="8"/>
                <w:szCs w:val="8"/>
              </w:rPr>
            </w:pPr>
          </w:p>
        </w:tc>
        <w:tc>
          <w:tcPr>
            <w:tcW w:w="7797" w:type="dxa"/>
            <w:gridSpan w:val="10"/>
            <w:tcBorders>
              <w:right w:val="single" w:color="auto" w:sz="4" w:space="0"/>
            </w:tcBorders>
          </w:tcPr>
          <w:p w14:paraId="420AD333">
            <w:pPr>
              <w:pStyle w:val="83"/>
              <w:spacing w:after="0"/>
              <w:rPr>
                <w:sz w:val="8"/>
                <w:szCs w:val="8"/>
              </w:rPr>
            </w:pPr>
          </w:p>
        </w:tc>
      </w:tr>
      <w:tr w14:paraId="2F39FADC">
        <w:tc>
          <w:tcPr>
            <w:tcW w:w="1843" w:type="dxa"/>
            <w:tcBorders>
              <w:left w:val="single" w:color="auto" w:sz="4" w:space="0"/>
            </w:tcBorders>
          </w:tcPr>
          <w:p w14:paraId="402008FC">
            <w:pPr>
              <w:pStyle w:val="83"/>
              <w:tabs>
                <w:tab w:val="right" w:pos="1759"/>
              </w:tabs>
              <w:spacing w:after="0"/>
              <w:rPr>
                <w:b/>
                <w:i/>
              </w:rPr>
            </w:pPr>
            <w:r>
              <w:rPr>
                <w:b/>
                <w:i/>
              </w:rPr>
              <w:t>Work item code:</w:t>
            </w:r>
          </w:p>
        </w:tc>
        <w:tc>
          <w:tcPr>
            <w:tcW w:w="3686" w:type="dxa"/>
            <w:gridSpan w:val="5"/>
            <w:shd w:val="pct30" w:color="FFFF00" w:fill="auto"/>
          </w:tcPr>
          <w:p w14:paraId="28059559">
            <w:pPr>
              <w:pStyle w:val="83"/>
              <w:spacing w:after="0"/>
              <w:ind w:left="100"/>
            </w:pPr>
            <w:r>
              <w:t>NR_NTN_Ph3-Core</w:t>
            </w:r>
          </w:p>
        </w:tc>
        <w:tc>
          <w:tcPr>
            <w:tcW w:w="567" w:type="dxa"/>
            <w:tcBorders>
              <w:left w:val="nil"/>
            </w:tcBorders>
          </w:tcPr>
          <w:p w14:paraId="793F3D16">
            <w:pPr>
              <w:pStyle w:val="83"/>
              <w:spacing w:after="0"/>
              <w:ind w:right="100"/>
            </w:pPr>
          </w:p>
        </w:tc>
        <w:tc>
          <w:tcPr>
            <w:tcW w:w="1417" w:type="dxa"/>
            <w:gridSpan w:val="3"/>
            <w:tcBorders>
              <w:left w:val="nil"/>
            </w:tcBorders>
          </w:tcPr>
          <w:p w14:paraId="0A177952">
            <w:pPr>
              <w:pStyle w:val="83"/>
              <w:spacing w:after="0"/>
              <w:jc w:val="right"/>
            </w:pPr>
            <w:r>
              <w:rPr>
                <w:b/>
                <w:i/>
              </w:rPr>
              <w:t>Date:</w:t>
            </w:r>
          </w:p>
        </w:tc>
        <w:tc>
          <w:tcPr>
            <w:tcW w:w="2127" w:type="dxa"/>
            <w:tcBorders>
              <w:right w:val="single" w:color="auto" w:sz="4" w:space="0"/>
            </w:tcBorders>
            <w:shd w:val="pct30" w:color="FFFF00" w:fill="auto"/>
          </w:tcPr>
          <w:p w14:paraId="4195E9E0">
            <w:pPr>
              <w:pStyle w:val="83"/>
              <w:spacing w:after="0"/>
              <w:ind w:left="100"/>
              <w:rPr>
                <w:rFonts w:hint="default"/>
                <w:lang w:val="fr-FR"/>
              </w:rPr>
            </w:pPr>
            <w:r>
              <w:rPr>
                <w:lang w:val="fr-FR"/>
              </w:rPr>
              <w:t>2025-11-</w:t>
            </w:r>
            <w:r>
              <w:rPr>
                <w:rFonts w:hint="default"/>
                <w:lang w:val="fr-FR"/>
              </w:rPr>
              <w:t>20</w:t>
            </w:r>
          </w:p>
        </w:tc>
      </w:tr>
      <w:tr w14:paraId="302461AC">
        <w:tc>
          <w:tcPr>
            <w:tcW w:w="1843" w:type="dxa"/>
            <w:tcBorders>
              <w:left w:val="single" w:color="auto" w:sz="4" w:space="0"/>
            </w:tcBorders>
          </w:tcPr>
          <w:p w14:paraId="5E59A482">
            <w:pPr>
              <w:pStyle w:val="83"/>
              <w:spacing w:after="0"/>
              <w:rPr>
                <w:b/>
                <w:i/>
                <w:sz w:val="8"/>
                <w:szCs w:val="8"/>
              </w:rPr>
            </w:pPr>
          </w:p>
        </w:tc>
        <w:tc>
          <w:tcPr>
            <w:tcW w:w="1986" w:type="dxa"/>
            <w:gridSpan w:val="4"/>
          </w:tcPr>
          <w:p w14:paraId="30090038">
            <w:pPr>
              <w:pStyle w:val="83"/>
              <w:spacing w:after="0"/>
              <w:rPr>
                <w:sz w:val="8"/>
                <w:szCs w:val="8"/>
              </w:rPr>
            </w:pPr>
          </w:p>
        </w:tc>
        <w:tc>
          <w:tcPr>
            <w:tcW w:w="2267" w:type="dxa"/>
            <w:gridSpan w:val="2"/>
          </w:tcPr>
          <w:p w14:paraId="645A3AE2">
            <w:pPr>
              <w:pStyle w:val="83"/>
              <w:spacing w:after="0"/>
              <w:rPr>
                <w:sz w:val="8"/>
                <w:szCs w:val="8"/>
              </w:rPr>
            </w:pPr>
          </w:p>
        </w:tc>
        <w:tc>
          <w:tcPr>
            <w:tcW w:w="1417" w:type="dxa"/>
            <w:gridSpan w:val="3"/>
          </w:tcPr>
          <w:p w14:paraId="7491E86F">
            <w:pPr>
              <w:pStyle w:val="83"/>
              <w:spacing w:after="0"/>
              <w:rPr>
                <w:sz w:val="8"/>
                <w:szCs w:val="8"/>
              </w:rPr>
            </w:pPr>
          </w:p>
        </w:tc>
        <w:tc>
          <w:tcPr>
            <w:tcW w:w="2127" w:type="dxa"/>
            <w:tcBorders>
              <w:right w:val="single" w:color="auto" w:sz="4" w:space="0"/>
            </w:tcBorders>
          </w:tcPr>
          <w:p w14:paraId="1C8EDF97">
            <w:pPr>
              <w:pStyle w:val="83"/>
              <w:spacing w:after="0"/>
              <w:rPr>
                <w:sz w:val="8"/>
                <w:szCs w:val="8"/>
              </w:rPr>
            </w:pPr>
          </w:p>
        </w:tc>
      </w:tr>
      <w:tr w14:paraId="5DF98510">
        <w:trPr>
          <w:cantSplit/>
        </w:trPr>
        <w:tc>
          <w:tcPr>
            <w:tcW w:w="1843" w:type="dxa"/>
            <w:tcBorders>
              <w:left w:val="single" w:color="auto" w:sz="4" w:space="0"/>
            </w:tcBorders>
          </w:tcPr>
          <w:p w14:paraId="7EC3D7B3">
            <w:pPr>
              <w:pStyle w:val="83"/>
              <w:tabs>
                <w:tab w:val="right" w:pos="1759"/>
              </w:tabs>
              <w:spacing w:after="0"/>
              <w:rPr>
                <w:b/>
                <w:i/>
              </w:rPr>
            </w:pPr>
            <w:r>
              <w:rPr>
                <w:b/>
                <w:i/>
              </w:rPr>
              <w:t>Category:</w:t>
            </w:r>
          </w:p>
        </w:tc>
        <w:tc>
          <w:tcPr>
            <w:tcW w:w="851" w:type="dxa"/>
            <w:shd w:val="pct30" w:color="FFFF00" w:fill="auto"/>
          </w:tcPr>
          <w:p w14:paraId="3A36F486">
            <w:pPr>
              <w:pStyle w:val="83"/>
              <w:spacing w:after="0"/>
              <w:ind w:left="100" w:right="-609"/>
              <w:rPr>
                <w:b/>
              </w:rPr>
            </w:pPr>
            <w:r>
              <w:rPr>
                <w:b/>
              </w:rPr>
              <w:t>F</w:t>
            </w:r>
          </w:p>
        </w:tc>
        <w:tc>
          <w:tcPr>
            <w:tcW w:w="3402" w:type="dxa"/>
            <w:gridSpan w:val="5"/>
            <w:tcBorders>
              <w:left w:val="nil"/>
            </w:tcBorders>
          </w:tcPr>
          <w:p w14:paraId="694F9451">
            <w:pPr>
              <w:pStyle w:val="83"/>
              <w:spacing w:after="0"/>
            </w:pPr>
          </w:p>
        </w:tc>
        <w:tc>
          <w:tcPr>
            <w:tcW w:w="1417" w:type="dxa"/>
            <w:gridSpan w:val="3"/>
            <w:tcBorders>
              <w:left w:val="nil"/>
            </w:tcBorders>
          </w:tcPr>
          <w:p w14:paraId="2CF9C6E3">
            <w:pPr>
              <w:pStyle w:val="83"/>
              <w:spacing w:after="0"/>
              <w:jc w:val="right"/>
              <w:rPr>
                <w:b/>
                <w:i/>
              </w:rPr>
            </w:pPr>
            <w:r>
              <w:rPr>
                <w:b/>
                <w:i/>
              </w:rPr>
              <w:t>Release:</w:t>
            </w:r>
          </w:p>
        </w:tc>
        <w:tc>
          <w:tcPr>
            <w:tcW w:w="2127" w:type="dxa"/>
            <w:tcBorders>
              <w:right w:val="single" w:color="auto" w:sz="4" w:space="0"/>
            </w:tcBorders>
            <w:shd w:val="pct30" w:color="FFFF00" w:fill="auto"/>
          </w:tcPr>
          <w:p w14:paraId="054FB5AE">
            <w:pPr>
              <w:pStyle w:val="83"/>
              <w:spacing w:after="0"/>
              <w:ind w:left="100"/>
            </w:pPr>
            <w:r>
              <w:fldChar w:fldCharType="begin"/>
            </w:r>
            <w:r>
              <w:instrText xml:space="preserve"> DOCPROPERTY  Release  \* MERGEFORMAT </w:instrText>
            </w:r>
            <w:r>
              <w:fldChar w:fldCharType="separate"/>
            </w:r>
            <w:r>
              <w:t>Rel-19</w:t>
            </w:r>
            <w:r>
              <w:fldChar w:fldCharType="end"/>
            </w:r>
          </w:p>
        </w:tc>
      </w:tr>
      <w:tr w14:paraId="20AB8D17">
        <w:tc>
          <w:tcPr>
            <w:tcW w:w="1843" w:type="dxa"/>
            <w:tcBorders>
              <w:left w:val="single" w:color="auto" w:sz="4" w:space="0"/>
              <w:bottom w:val="single" w:color="auto" w:sz="4" w:space="0"/>
            </w:tcBorders>
          </w:tcPr>
          <w:p w14:paraId="4872A123">
            <w:pPr>
              <w:pStyle w:val="83"/>
              <w:spacing w:after="0"/>
              <w:rPr>
                <w:b/>
                <w:i/>
              </w:rPr>
            </w:pPr>
          </w:p>
        </w:tc>
        <w:tc>
          <w:tcPr>
            <w:tcW w:w="4677" w:type="dxa"/>
            <w:gridSpan w:val="8"/>
            <w:tcBorders>
              <w:bottom w:val="single" w:color="auto" w:sz="4" w:space="0"/>
            </w:tcBorders>
          </w:tcPr>
          <w:p w14:paraId="709C8BE3">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0AF6AF1">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5"/>
                <w:sz w:val="18"/>
              </w:rPr>
              <w:t>TR 21.900</w:t>
            </w:r>
            <w:r>
              <w:rPr>
                <w:rStyle w:val="25"/>
                <w:sz w:val="18"/>
              </w:rPr>
              <w:fldChar w:fldCharType="end"/>
            </w:r>
            <w:r>
              <w:rPr>
                <w:sz w:val="18"/>
              </w:rPr>
              <w:t>.</w:t>
            </w:r>
          </w:p>
        </w:tc>
        <w:tc>
          <w:tcPr>
            <w:tcW w:w="3120" w:type="dxa"/>
            <w:gridSpan w:val="2"/>
            <w:tcBorders>
              <w:bottom w:val="single" w:color="auto" w:sz="4" w:space="0"/>
              <w:right w:val="single" w:color="auto" w:sz="4" w:space="0"/>
            </w:tcBorders>
          </w:tcPr>
          <w:p w14:paraId="24A6738C">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409306B5">
        <w:tc>
          <w:tcPr>
            <w:tcW w:w="1843" w:type="dxa"/>
          </w:tcPr>
          <w:p w14:paraId="70506CEA">
            <w:pPr>
              <w:pStyle w:val="83"/>
              <w:spacing w:after="0"/>
              <w:rPr>
                <w:b/>
                <w:i/>
                <w:sz w:val="8"/>
                <w:szCs w:val="8"/>
              </w:rPr>
            </w:pPr>
          </w:p>
        </w:tc>
        <w:tc>
          <w:tcPr>
            <w:tcW w:w="7797" w:type="dxa"/>
            <w:gridSpan w:val="10"/>
          </w:tcPr>
          <w:p w14:paraId="586F4ABD">
            <w:pPr>
              <w:pStyle w:val="83"/>
              <w:spacing w:after="0"/>
              <w:rPr>
                <w:sz w:val="8"/>
                <w:szCs w:val="8"/>
              </w:rPr>
            </w:pPr>
          </w:p>
        </w:tc>
      </w:tr>
      <w:tr w14:paraId="61E126D2">
        <w:tc>
          <w:tcPr>
            <w:tcW w:w="2694" w:type="dxa"/>
            <w:gridSpan w:val="2"/>
            <w:tcBorders>
              <w:top w:val="single" w:color="auto" w:sz="4" w:space="0"/>
              <w:left w:val="single" w:color="auto" w:sz="4" w:space="0"/>
            </w:tcBorders>
          </w:tcPr>
          <w:p w14:paraId="6375239F">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FE46ABF">
            <w:pPr>
              <w:pStyle w:val="83"/>
              <w:spacing w:after="0"/>
              <w:rPr>
                <w:lang w:val="fr-FR" w:eastAsia="zh-CN"/>
              </w:rPr>
            </w:pPr>
            <w:r>
              <w:t>Miscellaneous stage 2 corrections for NR NTN phase 3 after RAN2#131 post-email discussion [301]</w:t>
            </w:r>
            <w:r>
              <w:rPr>
                <w:lang w:val="fr-FR"/>
              </w:rPr>
              <w:t xml:space="preserve"> and during RAN2#131-bis meeting.</w:t>
            </w:r>
          </w:p>
          <w:p w14:paraId="18DFEF04">
            <w:pPr>
              <w:pStyle w:val="83"/>
              <w:spacing w:after="0"/>
              <w:ind w:left="520"/>
              <w:rPr>
                <w:lang w:eastAsia="zh-CN"/>
              </w:rPr>
            </w:pPr>
          </w:p>
        </w:tc>
      </w:tr>
      <w:tr w14:paraId="491B9DE7">
        <w:tc>
          <w:tcPr>
            <w:tcW w:w="2694" w:type="dxa"/>
            <w:gridSpan w:val="2"/>
            <w:tcBorders>
              <w:left w:val="single" w:color="auto" w:sz="4" w:space="0"/>
            </w:tcBorders>
          </w:tcPr>
          <w:p w14:paraId="159B333D">
            <w:pPr>
              <w:pStyle w:val="83"/>
              <w:spacing w:after="0"/>
              <w:rPr>
                <w:b/>
                <w:i/>
                <w:sz w:val="8"/>
                <w:szCs w:val="8"/>
              </w:rPr>
            </w:pPr>
          </w:p>
        </w:tc>
        <w:tc>
          <w:tcPr>
            <w:tcW w:w="6946" w:type="dxa"/>
            <w:gridSpan w:val="9"/>
            <w:tcBorders>
              <w:right w:val="single" w:color="auto" w:sz="4" w:space="0"/>
            </w:tcBorders>
          </w:tcPr>
          <w:p w14:paraId="7E0962AE">
            <w:pPr>
              <w:pStyle w:val="83"/>
              <w:spacing w:after="0"/>
              <w:rPr>
                <w:sz w:val="8"/>
                <w:szCs w:val="8"/>
              </w:rPr>
            </w:pPr>
          </w:p>
        </w:tc>
      </w:tr>
      <w:tr w14:paraId="44FE2184">
        <w:tc>
          <w:tcPr>
            <w:tcW w:w="2694" w:type="dxa"/>
            <w:gridSpan w:val="2"/>
            <w:tcBorders>
              <w:left w:val="single" w:color="auto" w:sz="4" w:space="0"/>
            </w:tcBorders>
          </w:tcPr>
          <w:p w14:paraId="438587F3">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4BD57BB">
            <w:pPr>
              <w:pStyle w:val="83"/>
              <w:spacing w:after="0"/>
            </w:pPr>
            <w:r>
              <w:t>The corrections to the issues listed in R2-2507648</w:t>
            </w:r>
            <w:r>
              <w:rPr>
                <w:lang w:val="fr-FR"/>
              </w:rPr>
              <w:t xml:space="preserve"> </w:t>
            </w:r>
            <w:r>
              <w:t>adressed by this CR are:</w:t>
            </w:r>
          </w:p>
          <w:p w14:paraId="1EDB94B3">
            <w:pPr>
              <w:pStyle w:val="83"/>
              <w:numPr>
                <w:ilvl w:val="0"/>
                <w:numId w:val="1"/>
              </w:numPr>
              <w:spacing w:after="0"/>
            </w:pPr>
            <w:r>
              <w:t xml:space="preserve">The description of the </w:t>
            </w:r>
            <w:r>
              <w:rPr>
                <w:lang w:val="fr-FR"/>
              </w:rPr>
              <w:t xml:space="preserve">cell re-selection frequency </w:t>
            </w:r>
            <w:r>
              <w:t xml:space="preserve">prioritization </w:t>
            </w:r>
            <w:r>
              <w:rPr>
                <w:lang w:val="fr-FR"/>
              </w:rPr>
              <w:t xml:space="preserve">for the </w:t>
            </w:r>
            <w:r>
              <w:t>UE</w:t>
            </w:r>
            <w:r>
              <w:rPr>
                <w:lang w:val="fr-FR"/>
              </w:rPr>
              <w:t xml:space="preserve"> capable of MBS Broadcast with ISA(s)</w:t>
            </w:r>
          </w:p>
          <w:p w14:paraId="68E462ED">
            <w:pPr>
              <w:pStyle w:val="83"/>
              <w:numPr>
                <w:ilvl w:val="0"/>
                <w:numId w:val="1"/>
              </w:numPr>
              <w:spacing w:after="0"/>
            </w:pPr>
            <w:r>
              <w:t>The description of the related enhancements for measurements in Downlink Coverage enhancements (i.e. 2 SMTC periodicities, 7 SMTC offsets and N closest location report)</w:t>
            </w:r>
          </w:p>
          <w:p w14:paraId="1CB41E61">
            <w:pPr>
              <w:pStyle w:val="83"/>
              <w:spacing w:after="0"/>
            </w:pPr>
            <w:r>
              <w:t>And editorial correction in clause 16.14.1.</w:t>
            </w:r>
          </w:p>
        </w:tc>
      </w:tr>
      <w:tr w14:paraId="3652DDEE">
        <w:tc>
          <w:tcPr>
            <w:tcW w:w="2694" w:type="dxa"/>
            <w:gridSpan w:val="2"/>
            <w:tcBorders>
              <w:left w:val="single" w:color="auto" w:sz="4" w:space="0"/>
            </w:tcBorders>
          </w:tcPr>
          <w:p w14:paraId="64589A38">
            <w:pPr>
              <w:pStyle w:val="83"/>
              <w:spacing w:after="0"/>
              <w:rPr>
                <w:b/>
                <w:i/>
                <w:sz w:val="8"/>
                <w:szCs w:val="8"/>
              </w:rPr>
            </w:pPr>
          </w:p>
        </w:tc>
        <w:tc>
          <w:tcPr>
            <w:tcW w:w="6946" w:type="dxa"/>
            <w:gridSpan w:val="9"/>
            <w:tcBorders>
              <w:right w:val="single" w:color="auto" w:sz="4" w:space="0"/>
            </w:tcBorders>
          </w:tcPr>
          <w:p w14:paraId="36214B4F">
            <w:pPr>
              <w:pStyle w:val="83"/>
              <w:spacing w:after="0"/>
              <w:rPr>
                <w:sz w:val="8"/>
                <w:szCs w:val="8"/>
              </w:rPr>
            </w:pPr>
          </w:p>
        </w:tc>
      </w:tr>
      <w:tr w14:paraId="4B32286D">
        <w:tc>
          <w:tcPr>
            <w:tcW w:w="2694" w:type="dxa"/>
            <w:gridSpan w:val="2"/>
            <w:tcBorders>
              <w:left w:val="single" w:color="auto" w:sz="4" w:space="0"/>
              <w:bottom w:val="single" w:color="auto" w:sz="4" w:space="0"/>
            </w:tcBorders>
          </w:tcPr>
          <w:p w14:paraId="2418D133">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71E4DEB">
            <w:pPr>
              <w:pStyle w:val="83"/>
              <w:spacing w:after="0"/>
              <w:ind w:left="100"/>
            </w:pPr>
            <w:r>
              <w:t>NR NTN phase 3 enhancements corrections not included in Rel-19.</w:t>
            </w:r>
          </w:p>
        </w:tc>
      </w:tr>
      <w:tr w14:paraId="110D5B1F">
        <w:tc>
          <w:tcPr>
            <w:tcW w:w="2694" w:type="dxa"/>
            <w:gridSpan w:val="2"/>
          </w:tcPr>
          <w:p w14:paraId="5E45ACF2">
            <w:pPr>
              <w:pStyle w:val="83"/>
              <w:spacing w:after="0"/>
              <w:rPr>
                <w:b/>
                <w:i/>
                <w:sz w:val="8"/>
                <w:szCs w:val="8"/>
              </w:rPr>
            </w:pPr>
          </w:p>
        </w:tc>
        <w:tc>
          <w:tcPr>
            <w:tcW w:w="6946" w:type="dxa"/>
            <w:gridSpan w:val="9"/>
          </w:tcPr>
          <w:p w14:paraId="3208A777">
            <w:pPr>
              <w:pStyle w:val="83"/>
              <w:spacing w:after="0"/>
              <w:rPr>
                <w:sz w:val="8"/>
                <w:szCs w:val="8"/>
              </w:rPr>
            </w:pPr>
          </w:p>
        </w:tc>
      </w:tr>
      <w:tr w14:paraId="5CD070CA">
        <w:tc>
          <w:tcPr>
            <w:tcW w:w="2694" w:type="dxa"/>
            <w:gridSpan w:val="2"/>
            <w:tcBorders>
              <w:top w:val="single" w:color="auto" w:sz="4" w:space="0"/>
              <w:left w:val="single" w:color="auto" w:sz="4" w:space="0"/>
            </w:tcBorders>
          </w:tcPr>
          <w:p w14:paraId="486D7466">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A17597A">
            <w:pPr>
              <w:pStyle w:val="83"/>
              <w:spacing w:after="0"/>
              <w:ind w:left="100"/>
              <w:rPr>
                <w:lang w:eastAsia="zh-CN"/>
              </w:rPr>
            </w:pPr>
            <w:r>
              <w:rPr>
                <w:lang w:eastAsia="zh-CN"/>
              </w:rPr>
              <w:t xml:space="preserve">16.14.1, 16.14.3.3, </w:t>
            </w:r>
            <w:r>
              <w:rPr>
                <w:lang w:val="fr-FR" w:eastAsia="zh-CN"/>
              </w:rPr>
              <w:t>16.14.12</w:t>
            </w:r>
          </w:p>
        </w:tc>
      </w:tr>
      <w:tr w14:paraId="0DCBF62B">
        <w:tc>
          <w:tcPr>
            <w:tcW w:w="2694" w:type="dxa"/>
            <w:gridSpan w:val="2"/>
            <w:tcBorders>
              <w:left w:val="single" w:color="auto" w:sz="4" w:space="0"/>
            </w:tcBorders>
          </w:tcPr>
          <w:p w14:paraId="4383DC8F">
            <w:pPr>
              <w:pStyle w:val="83"/>
              <w:spacing w:after="0"/>
              <w:rPr>
                <w:b/>
                <w:i/>
                <w:sz w:val="8"/>
                <w:szCs w:val="8"/>
              </w:rPr>
            </w:pPr>
          </w:p>
        </w:tc>
        <w:tc>
          <w:tcPr>
            <w:tcW w:w="6946" w:type="dxa"/>
            <w:gridSpan w:val="9"/>
            <w:tcBorders>
              <w:right w:val="single" w:color="auto" w:sz="4" w:space="0"/>
            </w:tcBorders>
          </w:tcPr>
          <w:p w14:paraId="34B1385C">
            <w:pPr>
              <w:pStyle w:val="83"/>
              <w:spacing w:after="0"/>
              <w:rPr>
                <w:sz w:val="8"/>
                <w:szCs w:val="8"/>
              </w:rPr>
            </w:pPr>
          </w:p>
        </w:tc>
      </w:tr>
      <w:tr w14:paraId="7D30F748">
        <w:tc>
          <w:tcPr>
            <w:tcW w:w="2694" w:type="dxa"/>
            <w:gridSpan w:val="2"/>
            <w:tcBorders>
              <w:left w:val="single" w:color="auto" w:sz="4" w:space="0"/>
            </w:tcBorders>
          </w:tcPr>
          <w:p w14:paraId="64AF93CE">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3EC62AEA">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3692E1F">
            <w:pPr>
              <w:pStyle w:val="83"/>
              <w:spacing w:after="0"/>
              <w:jc w:val="center"/>
              <w:rPr>
                <w:b/>
                <w:caps/>
              </w:rPr>
            </w:pPr>
            <w:r>
              <w:rPr>
                <w:b/>
                <w:caps/>
              </w:rPr>
              <w:t>N</w:t>
            </w:r>
          </w:p>
        </w:tc>
        <w:tc>
          <w:tcPr>
            <w:tcW w:w="2977" w:type="dxa"/>
            <w:gridSpan w:val="4"/>
          </w:tcPr>
          <w:p w14:paraId="051B304F">
            <w:pPr>
              <w:pStyle w:val="83"/>
              <w:tabs>
                <w:tab w:val="right" w:pos="2893"/>
              </w:tabs>
              <w:spacing w:after="0"/>
            </w:pPr>
          </w:p>
        </w:tc>
        <w:tc>
          <w:tcPr>
            <w:tcW w:w="3401" w:type="dxa"/>
            <w:gridSpan w:val="3"/>
            <w:tcBorders>
              <w:right w:val="single" w:color="auto" w:sz="4" w:space="0"/>
            </w:tcBorders>
            <w:shd w:val="clear" w:color="FFFF00" w:fill="auto"/>
          </w:tcPr>
          <w:p w14:paraId="7F190064">
            <w:pPr>
              <w:pStyle w:val="83"/>
              <w:spacing w:after="0"/>
              <w:ind w:left="99"/>
            </w:pPr>
          </w:p>
        </w:tc>
      </w:tr>
      <w:tr w14:paraId="6CCCC0FD">
        <w:tc>
          <w:tcPr>
            <w:tcW w:w="2694" w:type="dxa"/>
            <w:gridSpan w:val="2"/>
            <w:tcBorders>
              <w:left w:val="single" w:color="auto" w:sz="4" w:space="0"/>
            </w:tcBorders>
          </w:tcPr>
          <w:p w14:paraId="5A8B8834">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35F52741">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8EFC5D4">
            <w:pPr>
              <w:pStyle w:val="83"/>
              <w:spacing w:after="0"/>
              <w:jc w:val="center"/>
              <w:rPr>
                <w:b/>
                <w:caps/>
                <w:lang w:val="fr-FR"/>
              </w:rPr>
            </w:pPr>
            <w:r>
              <w:rPr>
                <w:b/>
                <w:caps/>
                <w:lang w:val="fr-FR"/>
              </w:rPr>
              <w:t>X</w:t>
            </w:r>
          </w:p>
        </w:tc>
        <w:tc>
          <w:tcPr>
            <w:tcW w:w="2977" w:type="dxa"/>
            <w:gridSpan w:val="4"/>
          </w:tcPr>
          <w:p w14:paraId="418507FE">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27907B09">
            <w:pPr>
              <w:pStyle w:val="83"/>
              <w:spacing w:after="0"/>
              <w:ind w:left="99"/>
              <w:rPr>
                <w:lang w:val="fr-FR"/>
              </w:rPr>
            </w:pPr>
          </w:p>
        </w:tc>
      </w:tr>
      <w:tr w14:paraId="0A442FB7">
        <w:tc>
          <w:tcPr>
            <w:tcW w:w="2694" w:type="dxa"/>
            <w:gridSpan w:val="2"/>
            <w:tcBorders>
              <w:left w:val="single" w:color="auto" w:sz="4" w:space="0"/>
            </w:tcBorders>
          </w:tcPr>
          <w:p w14:paraId="06149702">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EF1ED2F">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2250C87">
            <w:pPr>
              <w:pStyle w:val="83"/>
              <w:spacing w:after="0"/>
              <w:jc w:val="center"/>
              <w:rPr>
                <w:b/>
                <w:caps/>
              </w:rPr>
            </w:pPr>
            <w:r>
              <w:rPr>
                <w:b/>
                <w:caps/>
              </w:rPr>
              <w:t>X</w:t>
            </w:r>
          </w:p>
        </w:tc>
        <w:tc>
          <w:tcPr>
            <w:tcW w:w="2977" w:type="dxa"/>
            <w:gridSpan w:val="4"/>
          </w:tcPr>
          <w:p w14:paraId="625E5276">
            <w:pPr>
              <w:pStyle w:val="83"/>
              <w:spacing w:after="0"/>
            </w:pPr>
            <w:r>
              <w:t xml:space="preserve"> Test specifications</w:t>
            </w:r>
          </w:p>
        </w:tc>
        <w:tc>
          <w:tcPr>
            <w:tcW w:w="3401" w:type="dxa"/>
            <w:gridSpan w:val="3"/>
            <w:tcBorders>
              <w:right w:val="single" w:color="auto" w:sz="4" w:space="0"/>
            </w:tcBorders>
            <w:shd w:val="pct30" w:color="FFFF00" w:fill="auto"/>
          </w:tcPr>
          <w:p w14:paraId="578E5448">
            <w:pPr>
              <w:pStyle w:val="83"/>
              <w:spacing w:after="0"/>
              <w:ind w:left="99"/>
            </w:pPr>
          </w:p>
        </w:tc>
      </w:tr>
      <w:tr w14:paraId="0DCE7010">
        <w:tc>
          <w:tcPr>
            <w:tcW w:w="2694" w:type="dxa"/>
            <w:gridSpan w:val="2"/>
            <w:tcBorders>
              <w:left w:val="single" w:color="auto" w:sz="4" w:space="0"/>
            </w:tcBorders>
          </w:tcPr>
          <w:p w14:paraId="74E745FC">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774D1D3">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7A28078">
            <w:pPr>
              <w:pStyle w:val="83"/>
              <w:spacing w:after="0"/>
              <w:jc w:val="center"/>
              <w:rPr>
                <w:b/>
                <w:caps/>
              </w:rPr>
            </w:pPr>
            <w:r>
              <w:rPr>
                <w:b/>
                <w:caps/>
              </w:rPr>
              <w:t>X</w:t>
            </w:r>
          </w:p>
        </w:tc>
        <w:tc>
          <w:tcPr>
            <w:tcW w:w="2977" w:type="dxa"/>
            <w:gridSpan w:val="4"/>
          </w:tcPr>
          <w:p w14:paraId="002735E4">
            <w:pPr>
              <w:pStyle w:val="83"/>
              <w:spacing w:after="0"/>
            </w:pPr>
            <w:r>
              <w:t xml:space="preserve"> O&amp;M Specifications</w:t>
            </w:r>
          </w:p>
        </w:tc>
        <w:tc>
          <w:tcPr>
            <w:tcW w:w="3401" w:type="dxa"/>
            <w:gridSpan w:val="3"/>
            <w:tcBorders>
              <w:right w:val="single" w:color="auto" w:sz="4" w:space="0"/>
            </w:tcBorders>
            <w:shd w:val="pct30" w:color="FFFF00" w:fill="auto"/>
          </w:tcPr>
          <w:p w14:paraId="7B4B2B70">
            <w:pPr>
              <w:pStyle w:val="83"/>
              <w:spacing w:after="0"/>
              <w:ind w:left="99"/>
            </w:pPr>
          </w:p>
        </w:tc>
      </w:tr>
      <w:tr w14:paraId="4998F429">
        <w:tc>
          <w:tcPr>
            <w:tcW w:w="2694" w:type="dxa"/>
            <w:gridSpan w:val="2"/>
            <w:tcBorders>
              <w:left w:val="single" w:color="auto" w:sz="4" w:space="0"/>
            </w:tcBorders>
          </w:tcPr>
          <w:p w14:paraId="43ADC7CA">
            <w:pPr>
              <w:pStyle w:val="83"/>
              <w:spacing w:after="0"/>
              <w:rPr>
                <w:b/>
                <w:i/>
              </w:rPr>
            </w:pPr>
          </w:p>
        </w:tc>
        <w:tc>
          <w:tcPr>
            <w:tcW w:w="6946" w:type="dxa"/>
            <w:gridSpan w:val="9"/>
            <w:tcBorders>
              <w:right w:val="single" w:color="auto" w:sz="4" w:space="0"/>
            </w:tcBorders>
          </w:tcPr>
          <w:p w14:paraId="7CD67023">
            <w:pPr>
              <w:pStyle w:val="83"/>
              <w:spacing w:after="0"/>
            </w:pPr>
          </w:p>
        </w:tc>
      </w:tr>
      <w:tr w14:paraId="05A6D647">
        <w:tc>
          <w:tcPr>
            <w:tcW w:w="2694" w:type="dxa"/>
            <w:gridSpan w:val="2"/>
            <w:tcBorders>
              <w:left w:val="single" w:color="auto" w:sz="4" w:space="0"/>
              <w:bottom w:val="single" w:color="auto" w:sz="4" w:space="0"/>
            </w:tcBorders>
          </w:tcPr>
          <w:p w14:paraId="0BDBB612">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6E4769B">
            <w:pPr>
              <w:pStyle w:val="83"/>
              <w:spacing w:after="0"/>
              <w:ind w:left="100"/>
            </w:pPr>
          </w:p>
        </w:tc>
      </w:tr>
      <w:tr w14:paraId="720B1AFC">
        <w:tc>
          <w:tcPr>
            <w:tcW w:w="2694" w:type="dxa"/>
            <w:gridSpan w:val="2"/>
            <w:tcBorders>
              <w:top w:val="single" w:color="auto" w:sz="4" w:space="0"/>
              <w:bottom w:val="single" w:color="auto" w:sz="4" w:space="0"/>
            </w:tcBorders>
          </w:tcPr>
          <w:p w14:paraId="6C771D95">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0B6DB62">
            <w:pPr>
              <w:pStyle w:val="83"/>
              <w:spacing w:after="0"/>
              <w:ind w:left="100"/>
              <w:rPr>
                <w:sz w:val="8"/>
                <w:szCs w:val="8"/>
              </w:rPr>
            </w:pPr>
          </w:p>
        </w:tc>
      </w:tr>
      <w:tr w14:paraId="7235547F">
        <w:tc>
          <w:tcPr>
            <w:tcW w:w="2694" w:type="dxa"/>
            <w:gridSpan w:val="2"/>
            <w:tcBorders>
              <w:top w:val="single" w:color="auto" w:sz="4" w:space="0"/>
              <w:left w:val="single" w:color="auto" w:sz="4" w:space="0"/>
              <w:bottom w:val="single" w:color="auto" w:sz="4" w:space="0"/>
            </w:tcBorders>
          </w:tcPr>
          <w:p w14:paraId="2F173454">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CECBF8C">
            <w:pPr>
              <w:pStyle w:val="83"/>
              <w:spacing w:after="0"/>
              <w:ind w:left="100"/>
              <w:rPr>
                <w:rFonts w:hint="default"/>
                <w:lang w:val="fr-FR" w:eastAsia="zh-CN"/>
              </w:rPr>
            </w:pPr>
            <w:r>
              <w:rPr>
                <w:rFonts w:hint="default"/>
                <w:lang w:val="fr-FR" w:eastAsia="zh-CN"/>
              </w:rPr>
              <w:t>R2-2508763 submitted to RAN2#132</w:t>
            </w:r>
            <w:bookmarkStart w:id="13" w:name="_GoBack"/>
            <w:bookmarkEnd w:id="13"/>
          </w:p>
          <w:p w14:paraId="283F3AE1">
            <w:pPr>
              <w:pStyle w:val="83"/>
              <w:spacing w:after="0"/>
              <w:ind w:left="100"/>
              <w:rPr>
                <w:lang w:eastAsia="zh-CN"/>
              </w:rPr>
            </w:pPr>
            <w:r>
              <w:rPr>
                <w:lang w:eastAsia="zh-CN"/>
              </w:rPr>
              <w:t>R2-2507779 submitted to RAN2#131-bis</w:t>
            </w:r>
          </w:p>
          <w:p w14:paraId="1CC2A4B4">
            <w:pPr>
              <w:pStyle w:val="83"/>
              <w:spacing w:after="0"/>
              <w:ind w:left="100"/>
              <w:rPr>
                <w:lang w:val="fr-FR" w:eastAsia="zh-CN"/>
              </w:rPr>
            </w:pPr>
            <w:r>
              <w:rPr>
                <w:lang w:eastAsia="zh-CN"/>
              </w:rPr>
              <w:t xml:space="preserve">R2-2507649 </w:t>
            </w:r>
            <w:r>
              <w:rPr>
                <w:lang w:val="fr-FR" w:eastAsia="zh-CN"/>
              </w:rPr>
              <w:t>submitted to RAN2#131-bis</w:t>
            </w:r>
          </w:p>
        </w:tc>
      </w:tr>
    </w:tbl>
    <w:p w14:paraId="02F77471">
      <w:pPr>
        <w:pStyle w:val="83"/>
        <w:spacing w:after="0"/>
        <w:rPr>
          <w:sz w:val="8"/>
          <w:szCs w:val="8"/>
        </w:rPr>
      </w:pPr>
    </w:p>
    <w:p w14:paraId="2C4175B8">
      <w:pPr>
        <w:sectPr>
          <w:headerReference r:id="rId4" w:type="even"/>
          <w:footnotePr>
            <w:numRestart w:val="eachSect"/>
          </w:footnotePr>
          <w:pgSz w:w="11907" w:h="16840"/>
          <w:pgMar w:top="1418" w:right="1134" w:bottom="1134" w:left="1134" w:header="680" w:footer="567" w:gutter="0"/>
          <w:cols w:space="720" w:num="1"/>
        </w:sectPr>
      </w:pPr>
    </w:p>
    <w:p w14:paraId="664DEA62">
      <w:pPr>
        <w:pBdr>
          <w:top w:val="single" w:color="auto" w:sz="4" w:space="1"/>
          <w:left w:val="single" w:color="auto" w:sz="4" w:space="4"/>
          <w:bottom w:val="single" w:color="auto" w:sz="4" w:space="1"/>
          <w:right w:val="single" w:color="auto" w:sz="4" w:space="4"/>
        </w:pBdr>
        <w:shd w:val="clear" w:color="auto" w:fill="FFFF99"/>
        <w:spacing w:before="240" w:after="240"/>
        <w:jc w:val="center"/>
        <w:rPr>
          <w:i/>
        </w:rPr>
      </w:pPr>
      <w:r>
        <w:rPr>
          <w:i/>
        </w:rPr>
        <w:t>First Modified Subclause</w:t>
      </w:r>
    </w:p>
    <w:p w14:paraId="5625A9EF">
      <w:pPr>
        <w:pStyle w:val="4"/>
      </w:pPr>
      <w:bookmarkStart w:id="2" w:name="_Toc210385530"/>
      <w:bookmarkStart w:id="3" w:name="_Toc201700551"/>
      <w:bookmarkStart w:id="4" w:name="_Toc201700560"/>
      <w:bookmarkStart w:id="5" w:name="_Toc52551307"/>
      <w:bookmarkStart w:id="6" w:name="_Toc185530386"/>
      <w:bookmarkStart w:id="7" w:name="_Toc20387953"/>
      <w:bookmarkStart w:id="8" w:name="_Toc37231921"/>
      <w:bookmarkStart w:id="9" w:name="_Toc51971324"/>
      <w:bookmarkStart w:id="10" w:name="_Toc46501976"/>
      <w:bookmarkStart w:id="11" w:name="_Toc29376032"/>
      <w:r>
        <w:t>16.14.1</w:t>
      </w:r>
      <w:r>
        <w:tab/>
      </w:r>
      <w:r>
        <w:t>Overview</w:t>
      </w:r>
      <w:bookmarkEnd w:id="2"/>
    </w:p>
    <w:p w14:paraId="7DF52B15">
      <w:r>
        <w:t>Figures 16.14.1-1 and 16.14.1-2 below illustrate examples of a Non-Terrestrial Network (NTN) providing non-terrestrial NR access to the UE by means of an NTN payload and an NTN Gateway, depicting a service link between the NTN payload and a UE, and a feeder link between the NTN Gateway and the NTN payload. In Figure 16.14.1-1, the payload is transparent; in Figure 16.14.1-2 the payload is regenerative and hosts a gNB.</w:t>
      </w:r>
    </w:p>
    <w:p w14:paraId="4182CF19">
      <w:pPr>
        <w:pStyle w:val="57"/>
      </w:pPr>
      <w:r>
        <w:object>
          <v:shape id="_x0000_i1025" o:spt="75" type="#_x0000_t75" style="height:321.75pt;width:162.7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14:paraId="2E492635">
      <w:pPr>
        <w:pStyle w:val="56"/>
      </w:pPr>
      <w:r>
        <w:t>Figure 16.14.1-1: Overall illustration of an NTN with transparent payload</w:t>
      </w:r>
    </w:p>
    <w:p w14:paraId="474B9858">
      <w:pPr>
        <w:pStyle w:val="57"/>
      </w:pPr>
      <w:r>
        <w:object>
          <v:shape id="_x0000_i1026" o:spt="75" type="#_x0000_t75" style="height:338.25pt;width:381.7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14:paraId="3B393F73">
      <w:pPr>
        <w:pStyle w:val="56"/>
      </w:pPr>
      <w:r>
        <w:t>Figure 16.14.1-2: Overall illustration of an NTN with regenerative payload hosting a gNB</w:t>
      </w:r>
    </w:p>
    <w:p w14:paraId="1E43EAD5">
      <w:pPr>
        <w:pStyle w:val="58"/>
      </w:pPr>
      <w:r>
        <w:t>NOTE 1:</w:t>
      </w:r>
      <w:r>
        <w:tab/>
      </w:r>
      <w:r>
        <w:t>Figure 16.14.1-1 and 16.14.1-2 illustrate an NTN; RAN4 aspects are out of scope.</w:t>
      </w:r>
    </w:p>
    <w:p w14:paraId="2E94AEDE">
      <w:r>
        <w:t xml:space="preserve">The </w:t>
      </w:r>
      <w:ins w:id="0" w:author="Thales (Rapporteur)" w:date="2025-11-06T14:37:00Z">
        <w:r>
          <w:rPr/>
          <w:t xml:space="preserve">transparent </w:t>
        </w:r>
      </w:ins>
      <w:r>
        <w:t xml:space="preserve">NTN </w:t>
      </w:r>
      <w:del w:id="1" w:author="Thales (Rapporteur)" w:date="2025-10-31T10:38:00Z">
        <w:r>
          <w:rPr/>
          <w:delText xml:space="preserve">transport </w:delText>
        </w:r>
      </w:del>
      <w:r>
        <w:t xml:space="preserve">payload transparently forwards the radio protocol received from the UE (via the service link) to the NTN Gateway (via the feeder link) and vice-versa. The regenerative </w:t>
      </w:r>
      <w:ins w:id="2" w:author="Thales (Rapporteur)" w:date="2025-11-06T14:38:00Z">
        <w:r>
          <w:rPr/>
          <w:t xml:space="preserve">NTN </w:t>
        </w:r>
      </w:ins>
      <w:r>
        <w:t>payload terminates the Uu (via the service link), NG and Xn interfaces. The following connectivity is supported by the NTN payload:</w:t>
      </w:r>
    </w:p>
    <w:p w14:paraId="19054B0D">
      <w:pPr>
        <w:pStyle w:val="77"/>
      </w:pPr>
      <w:r>
        <w:t>-</w:t>
      </w:r>
      <w:r>
        <w:tab/>
      </w:r>
      <w:r>
        <w:t>An NTN gateway may serve multiple NTN payloads;</w:t>
      </w:r>
    </w:p>
    <w:p w14:paraId="7B1CE160">
      <w:pPr>
        <w:pStyle w:val="77"/>
      </w:pPr>
      <w:r>
        <w:t>-</w:t>
      </w:r>
      <w:r>
        <w:tab/>
      </w:r>
      <w:r>
        <w:t>An NTN payload may be served by multiple NTN gateways.</w:t>
      </w:r>
    </w:p>
    <w:p w14:paraId="1DFF0DCC">
      <w:pPr>
        <w:pStyle w:val="58"/>
      </w:pPr>
      <w:r>
        <w:t>NOTE 2:</w:t>
      </w:r>
      <w:r>
        <w:tab/>
      </w:r>
      <w:r>
        <w:t>In this release, the transparent NTN-payload may change the carrier frequency, before re-transmitting it on the service link, and vice versa (respectively on the feeder link).</w:t>
      </w:r>
    </w:p>
    <w:p w14:paraId="5CC11091">
      <w:r>
        <w:t>The following connectivity is supported by the NTN regenerative payload:</w:t>
      </w:r>
    </w:p>
    <w:p w14:paraId="75A5731F">
      <w:pPr>
        <w:pStyle w:val="77"/>
      </w:pPr>
      <w:r>
        <w:t>-</w:t>
      </w:r>
      <w:r>
        <w:tab/>
      </w:r>
      <w:r>
        <w:t>A regenerative NTN payload may terminate one or more inter-satellite links toward other regenerative payloads.</w:t>
      </w:r>
    </w:p>
    <w:p w14:paraId="673E7468">
      <w:r>
        <w:t>For NTN, the following applies in addition to Network Identities as described in clause 8.2:</w:t>
      </w:r>
    </w:p>
    <w:p w14:paraId="62049544">
      <w:pPr>
        <w:pStyle w:val="77"/>
      </w:pPr>
      <w:r>
        <w:t>-</w:t>
      </w:r>
      <w:r>
        <w:tab/>
      </w:r>
      <w:r>
        <w:t>A Tracking Area corresponds to a fixed geographical area. Any respective mapping is configured in the RAN;</w:t>
      </w:r>
    </w:p>
    <w:p w14:paraId="64DF4996">
      <w:pPr>
        <w:pStyle w:val="77"/>
        <w:ind w:left="284" w:firstLine="0"/>
      </w:pPr>
      <w:r>
        <w:t>-</w:t>
      </w:r>
      <w:r>
        <w:tab/>
      </w:r>
      <w:r>
        <w:t>A Mapped Cell ID as specified in clause 16.14.5.</w:t>
      </w:r>
    </w:p>
    <w:p w14:paraId="6516F14E">
      <w:r>
        <w:t>NTN can be deployed to provide coverage with earth-moving cell, quasi-earth-fixed cell and earth-fixed cell which are supported respectively by the following three types of service link:</w:t>
      </w:r>
    </w:p>
    <w:p w14:paraId="3C343A2B">
      <w:pPr>
        <w:pStyle w:val="77"/>
      </w:pPr>
      <w:r>
        <w:t>-</w:t>
      </w:r>
      <w:r>
        <w:tab/>
      </w:r>
      <w:r>
        <w:t>Earth-fixed: provisioned by beam(s) continuously covering the same geographical areas all the time (e.g., the case of GSO satellites);</w:t>
      </w:r>
    </w:p>
    <w:p w14:paraId="3AA84EA0">
      <w:pPr>
        <w:pStyle w:val="77"/>
      </w:pPr>
      <w:r>
        <w:t>-</w:t>
      </w:r>
      <w:r>
        <w:tab/>
      </w:r>
      <w:r>
        <w:t>Quasi-Earth-fixed: provisioned by beam(s) covering one geographic area for a limited period and a different geographic area during another period (e.g., the case of NGSO satellites generating steerable beams);</w:t>
      </w:r>
    </w:p>
    <w:p w14:paraId="65DD2325">
      <w:pPr>
        <w:pStyle w:val="77"/>
      </w:pPr>
      <w:r>
        <w:t>-</w:t>
      </w:r>
      <w:r>
        <w:tab/>
      </w:r>
      <w:r>
        <w:t>Earth-moving: provisioned by beam(s) whose coverage area slides over the Earth surface (e.g., the case of NGSO satellites generating fixed or non-steerable beams).</w:t>
      </w:r>
    </w:p>
    <w:p w14:paraId="6F9A262B">
      <w:r>
        <w:t>With NGSO satellites, the gNB can provide either quasi-Earth-fixed service link or Earth-moving service link, while gNB operating with GSO satellite can provide Earth fixed service link or quasi-Earth-fixed service link.</w:t>
      </w:r>
    </w:p>
    <w:p w14:paraId="07B736C3">
      <w:r>
        <w:t>In this release, the UE supporting NTN is GNSS-capable.</w:t>
      </w:r>
    </w:p>
    <w:p w14:paraId="1ABC8320">
      <w:r>
        <w:t>In NTN, the distance refers to Euclidean distance.</w:t>
      </w:r>
    </w:p>
    <w:p w14:paraId="4CFF2383">
      <w:r>
        <w:t>In this release, NTN is only applicable to FDD system.</w:t>
      </w:r>
    </w:p>
    <w:p w14:paraId="73023DF7"/>
    <w:p w14:paraId="381023B8">
      <w:pPr>
        <w:pBdr>
          <w:top w:val="single" w:color="auto" w:sz="4" w:space="1"/>
          <w:left w:val="single" w:color="auto" w:sz="4" w:space="4"/>
          <w:bottom w:val="single" w:color="auto" w:sz="4" w:space="1"/>
          <w:right w:val="single" w:color="auto" w:sz="4" w:space="4"/>
        </w:pBdr>
        <w:shd w:val="clear" w:color="auto" w:fill="FFFF99"/>
        <w:spacing w:before="240" w:after="240"/>
        <w:jc w:val="center"/>
      </w:pPr>
      <w:r>
        <w:rPr>
          <w:i/>
        </w:rPr>
        <w:t>Next Modified Subclause</w:t>
      </w:r>
    </w:p>
    <w:p w14:paraId="5E370E67">
      <w:pPr>
        <w:pStyle w:val="5"/>
      </w:pPr>
      <w:r>
        <w:t>16.14.3.3</w:t>
      </w:r>
      <w:r>
        <w:tab/>
      </w:r>
      <w:r>
        <w:t>Measurements</w:t>
      </w:r>
      <w:bookmarkEnd w:id="3"/>
    </w:p>
    <w:p w14:paraId="013066FB">
      <w:r>
        <w:t>The same principle as described in 9.2.4 applies to measurements in NTN unless hereunder specified.</w:t>
      </w:r>
    </w:p>
    <w:p w14:paraId="38EB4B54">
      <w:r>
        <w:t>The network can configure:</w:t>
      </w:r>
    </w:p>
    <w:p w14:paraId="35B5AC6F">
      <w:pPr>
        <w:pStyle w:val="77"/>
      </w:pPr>
      <w:r>
        <w:t>-</w:t>
      </w:r>
      <w:r>
        <w:tab/>
      </w:r>
      <w:r>
        <w:t>multiple SMTCs in parallel per carrier and for a given set of cells depending on UE capabilities;</w:t>
      </w:r>
    </w:p>
    <w:p w14:paraId="15A4F83E">
      <w:pPr>
        <w:pStyle w:val="77"/>
      </w:pPr>
      <w:r>
        <w:t>-</w:t>
      </w:r>
      <w:r>
        <w:tab/>
      </w:r>
      <w:r>
        <w:t>measurement gaps based on multiple SMTCs;</w:t>
      </w:r>
    </w:p>
    <w:p w14:paraId="74D414CC">
      <w:pPr>
        <w:pStyle w:val="77"/>
        <w:rPr>
          <w:ins w:id="3" w:author="Thales (Rapporteur)" w:date="2025-10-02T16:59:00Z"/>
        </w:rPr>
      </w:pPr>
      <w:r>
        <w:t>-</w:t>
      </w:r>
      <w:r>
        <w:tab/>
      </w:r>
      <w:r>
        <w:t xml:space="preserve">assistance information (e.g., ephemeris, Common TA parameters, </w:t>
      </w:r>
      <m:oMath>
        <m:sSub>
          <m:sSubPr>
            <m:ctrlPr>
              <w:rPr>
                <w:rFonts w:ascii="Cambria Math" w:hAnsi="Cambria Math"/>
              </w:rPr>
            </m:ctrlPr>
          </m:sSubPr>
          <m:e>
            <m:r>
              <m:rPr/>
              <w:rPr>
                <w:rFonts w:ascii="Cambria Math" w:hAnsi="Cambria Math"/>
              </w:rPr>
              <m:t>k</m:t>
            </m:r>
            <m:ctrlPr>
              <w:rPr>
                <w:rFonts w:ascii="Cambria Math" w:hAnsi="Cambria Math"/>
              </w:rPr>
            </m:ctrlPr>
          </m:e>
          <m:sub>
            <m:r>
              <m:rPr>
                <m:sty m:val="p"/>
              </m:rPr>
              <w:rPr>
                <w:rFonts w:ascii="Cambria Math" w:hAnsi="Cambria Math"/>
              </w:rPr>
              <m:t>mac</m:t>
            </m:r>
            <m:ctrlPr>
              <w:rPr>
                <w:rFonts w:ascii="Cambria Math" w:hAnsi="Cambria Math"/>
              </w:rPr>
            </m:ctrlPr>
          </m:sub>
        </m:sSub>
      </m:oMath>
      <w:r>
        <w:t>) provided in SIB19 for UE to perform measurement on neighbour cells in RRC_IDLE/RRC_INACTIVE/RRC_CONNECTED</w:t>
      </w:r>
      <w:ins w:id="4" w:author="Thales (Rapporteur)" w:date="2025-10-03T10:29:00Z">
        <w:r>
          <w:rPr/>
          <w:t>;</w:t>
        </w:r>
      </w:ins>
      <w:del w:id="5" w:author="Thales (Rapporteur)" w:date="2025-10-03T10:29:00Z">
        <w:r>
          <w:rPr/>
          <w:delText>.</w:delText>
        </w:r>
      </w:del>
    </w:p>
    <w:p w14:paraId="3A10C4E8">
      <w:pPr>
        <w:pStyle w:val="77"/>
        <w:rPr>
          <w:ins w:id="6" w:author="Thales (Rapporteur)" w:date="2025-10-02T10:40:00Z"/>
        </w:rPr>
      </w:pPr>
      <w:ins w:id="7" w:author="Thales (Rapporteur)" w:date="2025-10-02T16:59:00Z">
        <w:r>
          <w:rPr/>
          <w:t>-</w:t>
        </w:r>
      </w:ins>
      <w:ins w:id="8" w:author="Thales (Rapporteur)" w:date="2025-10-02T16:59:00Z">
        <w:r>
          <w:rPr/>
          <w:tab/>
        </w:r>
      </w:ins>
      <w:ins w:id="9" w:author="Thales (Rapporteur)" w:date="2025-10-02T16:59:00Z">
        <w:r>
          <w:rPr/>
          <w:t>two different SMTC periodicities for SMTCs</w:t>
        </w:r>
      </w:ins>
      <w:ins w:id="10" w:author="Thales (Rapporteur)" w:date="2025-11-03T17:40:00Z">
        <w:r>
          <w:rPr/>
          <w:t xml:space="preserve"> </w:t>
        </w:r>
      </w:ins>
      <w:ins w:id="11" w:author="Thales (Rapporteur)" w:date="2025-10-02T16:59:00Z">
        <w:r>
          <w:rPr/>
          <w:t>per frequency layer for UE in RRC_IDLE/RRC_INACTIVE/RRC_CONNECTED</w:t>
        </w:r>
      </w:ins>
      <w:ins w:id="12" w:author="Thales (Rapporteur)" w:date="2025-10-03T10:29:00Z">
        <w:r>
          <w:rPr/>
          <w:t>;</w:t>
        </w:r>
      </w:ins>
    </w:p>
    <w:p w14:paraId="0211DB65">
      <w:pPr>
        <w:pStyle w:val="77"/>
        <w:rPr>
          <w:ins w:id="13" w:author="Thales (Rapporteur)" w:date="2025-11-05T18:59:00Z"/>
        </w:rPr>
      </w:pPr>
      <w:ins w:id="14" w:author="Thales (Rapporteur)" w:date="2025-10-02T10:41:00Z">
        <w:r>
          <w:rPr/>
          <w:t>-</w:t>
        </w:r>
      </w:ins>
      <w:ins w:id="15" w:author="Thales (Rapporteur)" w:date="2025-10-02T10:41:00Z">
        <w:r>
          <w:rPr/>
          <w:tab/>
        </w:r>
      </w:ins>
      <w:ins w:id="16" w:author="Thales (Rapporteur)" w:date="2025-10-02T10:41:00Z">
        <w:r>
          <w:rPr/>
          <w:t xml:space="preserve">up to 7 SMTCs for </w:t>
        </w:r>
      </w:ins>
      <w:ins w:id="17" w:author="Thales (Rapporteur)" w:date="2025-10-02T10:43:00Z">
        <w:r>
          <w:rPr/>
          <w:t>UE in RRC_IDLE/RRC_INACTIVE</w:t>
        </w:r>
      </w:ins>
      <w:ins w:id="18" w:author="Thales (Rapporteur)" w:date="2025-11-05T18:53:00Z">
        <w:r>
          <w:rPr/>
          <w:t xml:space="preserve"> for the (quasi-)Earth fixed cells</w:t>
        </w:r>
      </w:ins>
      <w:ins w:id="19" w:author="Thales (Rapporteur)" w:date="2025-10-02T10:42:00Z">
        <w:r>
          <w:rPr/>
          <w:t>, including the SMTC of the serving cell</w:t>
        </w:r>
      </w:ins>
      <w:ins w:id="20" w:author="Thales (Rapporteur)" w:date="2025-11-05T19:00:00Z">
        <w:r>
          <w:rPr/>
          <w:t>,</w:t>
        </w:r>
      </w:ins>
      <w:ins w:id="21" w:author="Thales (Rapporteur)" w:date="2025-11-05T18:51:00Z">
        <w:r>
          <w:rPr/>
          <w:t xml:space="preserve"> where the UE down-selects the closest SMTCs based on implementation and </w:t>
        </w:r>
      </w:ins>
      <w:ins w:id="22" w:author="Thales (Rapporteur)" w:date="2025-11-05T18:52:00Z">
        <w:r>
          <w:rPr/>
          <w:t>UE capability</w:t>
        </w:r>
      </w:ins>
      <w:ins w:id="23" w:author="Thales (Rapporteur)" w:date="2025-10-03T10:29:00Z">
        <w:r>
          <w:rPr/>
          <w:t>.</w:t>
        </w:r>
      </w:ins>
    </w:p>
    <w:p w14:paraId="54AEEB7B">
      <w:pPr>
        <w:pStyle w:val="77"/>
        <w:rPr>
          <w:del w:id="24" w:author="Thales (Rapporteur)" w:date="2025-11-05T18:54:00Z"/>
        </w:rPr>
      </w:pPr>
    </w:p>
    <w:p w14:paraId="1096C802">
      <w:r>
        <w:t xml:space="preserve">NW-controlled adjustment of SMTCs can be based on UE assistance information reported in RRC_CONNECTED. </w:t>
      </w:r>
      <w:ins w:id="25" w:author="Thales (Rapporteur)" w:date="2025-11-03T17:58:00Z">
        <w:r>
          <w:rPr/>
          <w:t>The UE may be configured to report the closest reference location</w:t>
        </w:r>
      </w:ins>
      <w:ins w:id="26" w:author="Thales (Rapporteur)" w:date="2025-11-05T18:58:00Z">
        <w:r>
          <w:rPr/>
          <w:t>s</w:t>
        </w:r>
      </w:ins>
      <w:ins w:id="27" w:author="Thales (Rapporteur)" w:date="2025-11-03T17:58:00Z">
        <w:r>
          <w:rPr/>
          <w:t xml:space="preserve"> to assist</w:t>
        </w:r>
      </w:ins>
      <w:ins w:id="28" w:author="Thales (Rapporteur)" w:date="2025-11-05T19:01:00Z">
        <w:r>
          <w:rPr/>
          <w:t xml:space="preserve"> configuration</w:t>
        </w:r>
      </w:ins>
      <w:ins w:id="29" w:author="Thales (Rapporteur)" w:date="2025-11-20T18:46:49Z">
        <w:r>
          <w:rPr>
            <w:rFonts w:hint="default"/>
            <w:lang w:val="fr-FR"/>
          </w:rPr>
          <w:t xml:space="preserve"> of</w:t>
        </w:r>
      </w:ins>
      <w:ins w:id="30" w:author="Thales (Rapporteur)" w:date="2025-11-03T17:58:00Z">
        <w:r>
          <w:rPr/>
          <w:t xml:space="preserve"> SMTC and measurement gap.</w:t>
        </w:r>
      </w:ins>
      <w:ins w:id="31" w:author="Thales (Rapporteur)" w:date="2025-11-03T18:13:00Z">
        <w:r>
          <w:rPr>
            <w:rStyle w:val="16"/>
          </w:rPr>
          <w:t xml:space="preserve"> </w:t>
        </w:r>
      </w:ins>
      <w:r>
        <w:t>A UE in RRC_IDLE/RRC_INACTIVE can adjust SMTCs based on its location and assistance information in SIB19.</w:t>
      </w:r>
    </w:p>
    <w:p w14:paraId="4E448E61">
      <w:r>
        <w:t>UE assistance information consists of the service link propagation delay difference(s) between serving the cell and neighbour cell(s).</w:t>
      </w:r>
    </w:p>
    <w:p w14:paraId="37170225">
      <w:r>
        <w:t>For a UE in idle/inactive mode, it is up to UE implementation whether to perform NTN neighbour cell measurements on a cell indicated in SIB3/SIB4 but not included in SIB19.</w:t>
      </w:r>
    </w:p>
    <w:p w14:paraId="08BA164B">
      <w:r>
        <w:t>For a UE in connected mode, it is up to UE implementation whether to perform NTN neighbour cell measurements on a cell included in the measurement configuration, but without corresponding satellite information in measurement configuration or in SIB19.</w:t>
      </w:r>
    </w:p>
    <w:p w14:paraId="65F5EE58">
      <w:pPr>
        <w:rPr>
          <w:rFonts w:eastAsia="Malgun Gothic"/>
          <w:lang w:eastAsia="ko-KR"/>
        </w:rPr>
      </w:pPr>
      <w:r>
        <w:rPr>
          <w:rFonts w:eastAsia="Malgun Gothic"/>
          <w:lang w:eastAsia="ko-KR"/>
        </w:rPr>
        <w:t>UE can perform time-based and location-based measurements on neighbour cells in RRC_IDLE/RRC_INACTIVE:</w:t>
      </w:r>
    </w:p>
    <w:p w14:paraId="26C5A187">
      <w:pPr>
        <w:pStyle w:val="77"/>
        <w:rPr>
          <w:rFonts w:eastAsia="Malgun Gothic"/>
          <w:lang w:eastAsia="ko-KR"/>
        </w:rPr>
      </w:pPr>
      <w:r>
        <w:rPr>
          <w:rFonts w:eastAsia="Malgun Gothic"/>
          <w:lang w:eastAsia="ko-KR"/>
        </w:rPr>
        <w:t>-</w:t>
      </w:r>
      <w:r>
        <w:rPr>
          <w:rFonts w:eastAsia="Malgun Gothic"/>
          <w:lang w:eastAsia="ko-KR"/>
        </w:rPr>
        <w:tab/>
      </w:r>
      <w:r>
        <w:rPr>
          <w:rFonts w:eastAsia="Malgun Gothic"/>
          <w:lang w:eastAsia="ko-KR"/>
        </w:rPr>
        <w:t>The timing and location information associated to the serving cell is provided in SIB19;</w:t>
      </w:r>
    </w:p>
    <w:p w14:paraId="06D27FAE">
      <w:pPr>
        <w:pStyle w:val="77"/>
        <w:rPr>
          <w:rFonts w:eastAsia="Malgun Gothic"/>
          <w:lang w:eastAsia="ko-KR"/>
        </w:rPr>
      </w:pPr>
      <w:r>
        <w:rPr>
          <w:rFonts w:eastAsia="Malgun Gothic"/>
          <w:lang w:eastAsia="ko-KR"/>
        </w:rPr>
        <w:t>-</w:t>
      </w:r>
      <w:r>
        <w:rPr>
          <w:rFonts w:eastAsia="Malgun Gothic"/>
          <w:lang w:eastAsia="ko-KR"/>
        </w:rPr>
        <w:tab/>
      </w:r>
      <w:r>
        <w:rPr>
          <w:rFonts w:eastAsia="Malgun Gothic"/>
          <w:lang w:eastAsia="ko-KR"/>
        </w:rPr>
        <w:t>Timing information refers to the UTC time when the serving cell stops serving the current geographical area;</w:t>
      </w:r>
    </w:p>
    <w:p w14:paraId="5478DC33">
      <w:pPr>
        <w:pStyle w:val="77"/>
        <w:rPr>
          <w:rFonts w:eastAsia="Malgun Gothic"/>
          <w:lang w:eastAsia="ko-KR"/>
        </w:rPr>
      </w:pPr>
      <w:r>
        <w:rPr>
          <w:rFonts w:eastAsia="Malgun Gothic"/>
          <w:lang w:eastAsia="ko-KR"/>
        </w:rPr>
        <w:t>-</w:t>
      </w:r>
      <w:r>
        <w:rPr>
          <w:rFonts w:eastAsia="Malgun Gothic"/>
          <w:lang w:eastAsia="ko-KR"/>
        </w:rPr>
        <w:tab/>
      </w:r>
      <w:r>
        <w:rPr>
          <w:rFonts w:eastAsia="Malgun Gothic"/>
          <w:lang w:eastAsia="ko-KR"/>
        </w:rPr>
        <w:t>Location information refers:</w:t>
      </w:r>
    </w:p>
    <w:p w14:paraId="3BA46DE3">
      <w:pPr>
        <w:pStyle w:val="78"/>
      </w:pPr>
      <w:r>
        <w:t>-</w:t>
      </w:r>
      <w:r>
        <w:tab/>
      </w:r>
      <w:r>
        <w:t>In the (quasi-)Earth fixed cell scenario, to the reference location of the serving cell and a distance threshold to the reference location.</w:t>
      </w:r>
    </w:p>
    <w:p w14:paraId="2E1883BE">
      <w:pPr>
        <w:pStyle w:val="78"/>
      </w:pPr>
      <w:r>
        <w:t>-</w:t>
      </w:r>
      <w:r>
        <w:tab/>
      </w:r>
      <w:r>
        <w:t>In the Earth moving cell scenario, to the reference location of the serving cell at the epoch time and a distance threshold to the reference location.</w:t>
      </w:r>
    </w:p>
    <w:p w14:paraId="7D82E789">
      <w:pPr>
        <w:rPr>
          <w:rFonts w:eastAsia="Malgun Gothic"/>
          <w:lang w:eastAsia="ko-KR"/>
        </w:rPr>
      </w:pPr>
      <w:r>
        <w:rPr>
          <w:rFonts w:eastAsia="Malgun Gothic"/>
          <w:lang w:eastAsia="ko-KR"/>
        </w:rPr>
        <w:t>The time-based measurement initiation may be applicable for the feeder link switchover case for cell re-selection.</w:t>
      </w:r>
    </w:p>
    <w:p w14:paraId="21F978F8">
      <w:pPr>
        <w:rPr>
          <w:rFonts w:eastAsia="Malgun Gothic"/>
          <w:lang w:eastAsia="ko-KR"/>
        </w:rPr>
      </w:pPr>
      <w:r>
        <w:rPr>
          <w:rFonts w:eastAsia="Malgun Gothic"/>
          <w:lang w:eastAsia="ko-KR"/>
        </w:rPr>
        <w:t>Measurement rules for cell re-selection based on timing information and location information are specified in clause 5.2.4.2 in TS 38.304 [10].</w:t>
      </w:r>
    </w:p>
    <w:p w14:paraId="7AA281DB"/>
    <w:bookmarkEnd w:id="4"/>
    <w:p w14:paraId="475C9E80">
      <w:pPr>
        <w:pBdr>
          <w:top w:val="single" w:color="auto" w:sz="4" w:space="1"/>
          <w:left w:val="single" w:color="auto" w:sz="4" w:space="4"/>
          <w:bottom w:val="single" w:color="auto" w:sz="4" w:space="1"/>
          <w:right w:val="single" w:color="auto" w:sz="4" w:space="4"/>
        </w:pBdr>
        <w:shd w:val="clear" w:color="auto" w:fill="FFFF99"/>
        <w:spacing w:before="240" w:after="240"/>
        <w:jc w:val="center"/>
      </w:pPr>
      <w:r>
        <w:rPr>
          <w:i/>
        </w:rPr>
        <w:t>Next Modified Subclause</w:t>
      </w:r>
    </w:p>
    <w:p w14:paraId="47397CBA">
      <w:pPr>
        <w:pStyle w:val="4"/>
      </w:pPr>
      <w:bookmarkStart w:id="12" w:name="_Toc210385552"/>
      <w:r>
        <w:t>16.14.12</w:t>
      </w:r>
      <w:r>
        <w:tab/>
      </w:r>
      <w:r>
        <w:t>Support of ISA for MBS Broadcast in NTN</w:t>
      </w:r>
      <w:bookmarkEnd w:id="12"/>
    </w:p>
    <w:p w14:paraId="0372B873">
      <w:pPr>
        <w:rPr>
          <w:del w:id="32" w:author="Thales (Rapporteur)" w:date="2025-11-03T18:51:00Z"/>
        </w:rPr>
      </w:pPr>
      <w:r>
        <w:t xml:space="preserve">An intended service area (ISA) is a geographical area that can be signaled for MBS broadcast services. The ISA(s) is broadcasted in </w:t>
      </w:r>
      <w:r>
        <w:rPr>
          <w:i/>
        </w:rPr>
        <w:t>SIB27</w:t>
      </w:r>
      <w:r>
        <w:t xml:space="preserve"> and associated to MBS broadcast service(s) by indicating the ISA identifier(s) in MCCH. It may be included in USD within target service area [46].</w:t>
      </w:r>
    </w:p>
    <w:p w14:paraId="631AD530">
      <w:pPr>
        <w:rPr>
          <w:ins w:id="33" w:author="Thales (Rapporteur)" w:date="2025-11-03T18:51:00Z"/>
          <w:lang w:val="fr-FR"/>
        </w:rPr>
      </w:pPr>
    </w:p>
    <w:p w14:paraId="1771823C">
      <w:pPr>
        <w:rPr>
          <w:del w:id="34" w:author="Thales (Rapporteur)" w:date="2025-11-03T18:51:00Z"/>
          <w:lang w:val="fr-FR"/>
        </w:rPr>
      </w:pPr>
      <w:del w:id="35" w:author="Thales (Rapporteur)" w:date="2025-10-17T08:44:00Z">
        <w:r>
          <w:rPr>
            <w:lang w:val="fr-FR"/>
          </w:rPr>
          <w:delText xml:space="preserve"> </w:delText>
        </w:r>
      </w:del>
    </w:p>
    <w:p w14:paraId="789DEB92">
      <w:pPr>
        <w:rPr>
          <w:ins w:id="36" w:author="Thales (Rapporteur)" w:date="2025-10-16T09:32:00Z"/>
          <w:lang w:val="fr-FR"/>
        </w:rPr>
      </w:pPr>
      <w:r>
        <w:t xml:space="preserve">The NTN-capable UE supporting the MBS broadcast may initiate the broadcast MRB establishment procedure </w:t>
      </w:r>
      <w:ins w:id="37" w:author="Thales (Rapporteur)" w:date="2025-11-03T18:49:00Z">
        <w:r>
          <w:rPr/>
          <w:t>and prioritize the frequ</w:t>
        </w:r>
      </w:ins>
      <w:ins w:id="38" w:author="Thales (Rapporteur)" w:date="2025-11-05T19:07:00Z">
        <w:r>
          <w:rPr/>
          <w:t>e</w:t>
        </w:r>
      </w:ins>
      <w:ins w:id="39" w:author="Thales (Rapporteur)" w:date="2025-11-03T18:49:00Z">
        <w:r>
          <w:rPr/>
          <w:t xml:space="preserve">ncy providing these MBS broadcast service(s) </w:t>
        </w:r>
      </w:ins>
      <w:r>
        <w:t xml:space="preserve">when it is inside an ISA. The UE may initiate the broadcast MRB release procedure </w:t>
      </w:r>
      <w:ins w:id="40" w:author="Thales (Rapporteur)" w:date="2025-11-03T18:49:00Z">
        <w:r>
          <w:rPr/>
          <w:t xml:space="preserve">and no longer prioritize the frequency providing </w:t>
        </w:r>
      </w:ins>
      <w:ins w:id="41" w:author="Thales (Rapporteur)" w:date="2025-11-03T18:50:00Z">
        <w:r>
          <w:rPr/>
          <w:t xml:space="preserve">MBS broadcast service(s) </w:t>
        </w:r>
      </w:ins>
      <w:r>
        <w:t>when the UE leaves an ISA</w:t>
      </w:r>
      <w:ins w:id="42" w:author="Thales (Rapporteur)" w:date="2025-11-03T18:50:00Z">
        <w:r>
          <w:rPr/>
          <w:t>, as specified in clause 5.9.3 of TS 38.331 [12] and clause 5.2.4.1 of TS 38.304 [10].</w:t>
        </w:r>
      </w:ins>
      <w:ins w:id="43" w:author="Thales (Rapporteur)" w:date="2025-11-03T18:51:00Z">
        <w:r>
          <w:rPr/>
          <w:t xml:space="preserve"> </w:t>
        </w:r>
      </w:ins>
      <w:del w:id="44" w:author="Thales (Rapporteur)" w:date="2025-11-03T18:51:00Z">
        <w:r>
          <w:rPr/>
          <w:delText xml:space="preserve"> (see clause 5.9.3 of TS 38.331 [12]).</w:delText>
        </w:r>
      </w:del>
    </w:p>
    <w:p w14:paraId="35BABE1B">
      <w:pPr>
        <w:pStyle w:val="58"/>
      </w:pPr>
      <w:r>
        <w:t>NOTE:</w:t>
      </w:r>
      <w:r>
        <w:tab/>
      </w:r>
      <w:r>
        <w:t>When using ISA(s) for MBS broadcast service reception or MBS service continuity, it is up to the UE implementation how to determine if it is in the ISA(s) of MBS broadcast service or not.</w:t>
      </w:r>
    </w:p>
    <w:bookmarkEnd w:id="5"/>
    <w:bookmarkEnd w:id="6"/>
    <w:bookmarkEnd w:id="7"/>
    <w:bookmarkEnd w:id="8"/>
    <w:bookmarkEnd w:id="9"/>
    <w:bookmarkEnd w:id="10"/>
    <w:bookmarkEnd w:id="11"/>
    <w:p w14:paraId="581BD8D7"/>
    <w:p w14:paraId="3F5A9170">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val="fr-FR"/>
        </w:rPr>
      </w:pPr>
      <w:r>
        <w:rPr>
          <w:i/>
        </w:rPr>
        <w:t>End of Changes</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SimHei">
    <w:altName w:val="黑体-简"/>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苹方-简"/>
    <w:panose1 w:val="00000000000000000000"/>
    <w:charset w:val="86"/>
    <w:family w:val="auto"/>
    <w:pitch w:val="default"/>
    <w:sig w:usb0="00000000" w:usb1="00000000" w:usb2="00000000" w:usb3="00000000" w:csb0="0000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Malgun Gothic">
    <w:altName w:val="Apple SD Gothic Neo"/>
    <w:panose1 w:val="00000000000000000000"/>
    <w:charset w:val="00"/>
    <w:family w:val="auto"/>
    <w:pitch w:val="default"/>
    <w:sig w:usb0="00000000" w:usb1="00000000" w:usb2="00000000" w:usb3="00000000" w:csb0="00000000" w:csb1="00000000"/>
  </w:font>
  <w:font w:name="MS Mincho">
    <w:altName w:val="Hiragino Sans"/>
    <w:panose1 w:val="02020609040205080304"/>
    <w:charset w:val="80"/>
    <w:family w:val="modern"/>
    <w:pitch w:val="default"/>
    <w:sig w:usb0="00000000" w:usb1="00000000" w:usb2="08000012" w:usb3="00000000" w:csb0="0002009F" w:csb1="00000000"/>
  </w:font>
  <w:font w:name="Symbol">
    <w:altName w:val="Kingsoft Sign"/>
    <w:panose1 w:val="05050102010706020507"/>
    <w:charset w:val="02"/>
    <w:family w:val="roman"/>
    <w:pitch w:val="default"/>
    <w:sig w:usb0="00000000" w:usb1="00000000" w:usb2="00000000" w:usb3="00000000" w:csb0="80000000" w:csb1="00000000"/>
  </w:font>
  <w:font w:name="Cambria Math">
    <w:altName w:val="Kingsoft Math"/>
    <w:panose1 w:val="02040503050406030204"/>
    <w:charset w:val="00"/>
    <w:family w:val="roman"/>
    <w:pitch w:val="default"/>
    <w:sig w:usb0="00000000" w:usb1="00000000" w:usb2="02000000" w:usb3="00000000" w:csb0="0000019F" w:csb1="00000000"/>
  </w:font>
  <w:font w:name="宋体-简">
    <w:panose1 w:val="02010800040101010101"/>
    <w:charset w:val="86"/>
    <w:family w:val="auto"/>
    <w:pitch w:val="default"/>
    <w:sig w:usb0="00000001" w:usb1="080F0000" w:usb2="00000000" w:usb3="00000000" w:csb0="00040000" w:csb1="00000000"/>
  </w:font>
  <w:font w:name="Apple SD Gothic Neo">
    <w:panose1 w:val="02000300000000000000"/>
    <w:charset w:val="81"/>
    <w:family w:val="auto"/>
    <w:pitch w:val="default"/>
    <w:sig w:usb0="00000203" w:usb1="21D12C10" w:usb2="00000010" w:usb3="00000000" w:csb0="00280005" w:csb1="00000000"/>
  </w:font>
  <w:font w:name="Hiragino Sans">
    <w:panose1 w:val="020B0300000000000000"/>
    <w:charset w:val="80"/>
    <w:family w:val="auto"/>
    <w:pitch w:val="default"/>
    <w:sig w:usb0="E00002FF" w:usb1="7AE7FFFF" w:usb2="00000012" w:usb3="00000000" w:csb0="0002000D" w:csb1="00000000"/>
  </w:font>
  <w:font w:name="Kingsoft Math">
    <w:panose1 w:val="02040503050406030204"/>
    <w:charset w:val="00"/>
    <w:family w:val="auto"/>
    <w:pitch w:val="default"/>
    <w:sig w:usb0="80000087" w:usb1="00002068" w:usb2="00000000" w:usb3="00000000" w:csb0="2000019F" w:csb1="00000000"/>
  </w:font>
  <w:font w:name="黑体-简">
    <w:panose1 w:val="02000000000000000000"/>
    <w:charset w:val="86"/>
    <w:family w:val="auto"/>
    <w:pitch w:val="default"/>
    <w:sig w:usb0="8000002F" w:usb1="0800004A" w:usb2="00000000" w:usb3="00000000" w:csb0="203E0000" w:csb1="00000000"/>
  </w:font>
  <w:font w:name="Thonburi">
    <w:panose1 w:val="00000400000000000000"/>
    <w:charset w:val="00"/>
    <w:family w:val="auto"/>
    <w:pitch w:val="default"/>
    <w:sig w:usb0="01000000" w:usb1="00000000" w:usb2="00000000" w:usb3="00000000" w:csb0="20000193" w:csb1="4D000000"/>
  </w:font>
  <w:font w:name="Kingsoft Sign">
    <w:panose1 w:val="05050102010706020507"/>
    <w:charset w:val="00"/>
    <w:family w:val="auto"/>
    <w:pitch w:val="default"/>
    <w:sig w:usb0="00000000" w:usb1="10000000" w:usb2="00000000" w:usb3="00000000" w:csb0="00000001"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DejaVu Math TeX Gyre">
    <w:panose1 w:val="02000503000000000000"/>
    <w:charset w:val="00"/>
    <w:family w:val="auto"/>
    <w:pitch w:val="default"/>
    <w:sig w:usb0="A10000EF" w:usb1="4201F9EE" w:usb2="02000000" w:usb3="00000000" w:csb0="60000193" w:csb1="0DD40000"/>
  </w:font>
  <w:font w:name="Helvetica Neue">
    <w:panose1 w:val="02000503000000020004"/>
    <w:charset w:val="00"/>
    <w:family w:val="auto"/>
    <w:pitch w:val="default"/>
    <w:sig w:usb0="E50002FF" w:usb1="500079DB" w:usb2="0000001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19803">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D36C2B">
    <w:pPr>
      <w:pStyle w:val="2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943054">
    <w:pPr>
      <w:pStyle w:val="2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1E2F3">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305D2E"/>
    <w:multiLevelType w:val="multilevel"/>
    <w:tmpl w:val="25305D2E"/>
    <w:lvl w:ilvl="0" w:tentative="0">
      <w:start w:val="2025"/>
      <w:numFmt w:val="bullet"/>
      <w:lvlText w:val="-"/>
      <w:lvlJc w:val="left"/>
      <w:pPr>
        <w:ind w:left="1080" w:hanging="360"/>
      </w:pPr>
      <w:rPr>
        <w:rFonts w:hint="default" w:ascii="Arial" w:hAnsi="Arial" w:eastAsia="SimSun" w:cs="Aria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hales (Rapporteur)">
    <w15:presenceInfo w15:providerId="None" w15:userId="Thales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5"/>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NDAxM7Q0MTM2sTQ2MLNQ0lEKTi0uzszPAykwrgUAVYo0YywAAAA="/>
  </w:docVars>
  <w:rsids>
    <w:rsidRoot w:val="00022E4A"/>
    <w:rsid w:val="0000003D"/>
    <w:rsid w:val="00000E93"/>
    <w:rsid w:val="00001225"/>
    <w:rsid w:val="00003800"/>
    <w:rsid w:val="0000517B"/>
    <w:rsid w:val="000109F5"/>
    <w:rsid w:val="0001171A"/>
    <w:rsid w:val="00013D35"/>
    <w:rsid w:val="0002093D"/>
    <w:rsid w:val="00022E4A"/>
    <w:rsid w:val="00027C3A"/>
    <w:rsid w:val="00032F1D"/>
    <w:rsid w:val="000348E3"/>
    <w:rsid w:val="00035B22"/>
    <w:rsid w:val="00037F40"/>
    <w:rsid w:val="00040E68"/>
    <w:rsid w:val="000448C5"/>
    <w:rsid w:val="00051E68"/>
    <w:rsid w:val="000527DB"/>
    <w:rsid w:val="00052A17"/>
    <w:rsid w:val="00054772"/>
    <w:rsid w:val="000549D2"/>
    <w:rsid w:val="00057316"/>
    <w:rsid w:val="000658C8"/>
    <w:rsid w:val="00070E09"/>
    <w:rsid w:val="0007105C"/>
    <w:rsid w:val="00071460"/>
    <w:rsid w:val="00073C7F"/>
    <w:rsid w:val="00075773"/>
    <w:rsid w:val="000809A7"/>
    <w:rsid w:val="00084365"/>
    <w:rsid w:val="00085292"/>
    <w:rsid w:val="00092DA6"/>
    <w:rsid w:val="000951BD"/>
    <w:rsid w:val="000A4EDB"/>
    <w:rsid w:val="000A5DAD"/>
    <w:rsid w:val="000A6394"/>
    <w:rsid w:val="000A7B0D"/>
    <w:rsid w:val="000B1510"/>
    <w:rsid w:val="000B3E29"/>
    <w:rsid w:val="000B7FED"/>
    <w:rsid w:val="000C038A"/>
    <w:rsid w:val="000C0838"/>
    <w:rsid w:val="000C5BB8"/>
    <w:rsid w:val="000C6598"/>
    <w:rsid w:val="000D0D96"/>
    <w:rsid w:val="000D29DC"/>
    <w:rsid w:val="000D33FE"/>
    <w:rsid w:val="000D44B3"/>
    <w:rsid w:val="000E3746"/>
    <w:rsid w:val="000E68E9"/>
    <w:rsid w:val="000E710C"/>
    <w:rsid w:val="000F4EBE"/>
    <w:rsid w:val="000F7DCB"/>
    <w:rsid w:val="00107673"/>
    <w:rsid w:val="0011267C"/>
    <w:rsid w:val="001228E6"/>
    <w:rsid w:val="00123AA6"/>
    <w:rsid w:val="00127434"/>
    <w:rsid w:val="0013123F"/>
    <w:rsid w:val="00132CC8"/>
    <w:rsid w:val="00132EEB"/>
    <w:rsid w:val="00136282"/>
    <w:rsid w:val="00136FD8"/>
    <w:rsid w:val="00144D2E"/>
    <w:rsid w:val="00145D43"/>
    <w:rsid w:val="00156AAC"/>
    <w:rsid w:val="001627E7"/>
    <w:rsid w:val="00173EDD"/>
    <w:rsid w:val="00176250"/>
    <w:rsid w:val="00176538"/>
    <w:rsid w:val="0017681F"/>
    <w:rsid w:val="001779DD"/>
    <w:rsid w:val="0019069F"/>
    <w:rsid w:val="001910F3"/>
    <w:rsid w:val="00192C46"/>
    <w:rsid w:val="001A08B3"/>
    <w:rsid w:val="001A1DAB"/>
    <w:rsid w:val="001A4261"/>
    <w:rsid w:val="001A7B60"/>
    <w:rsid w:val="001B154F"/>
    <w:rsid w:val="001B52F0"/>
    <w:rsid w:val="001B543C"/>
    <w:rsid w:val="001B6381"/>
    <w:rsid w:val="001B7A65"/>
    <w:rsid w:val="001C1B65"/>
    <w:rsid w:val="001C1CC8"/>
    <w:rsid w:val="001C1E56"/>
    <w:rsid w:val="001C34B8"/>
    <w:rsid w:val="001D104A"/>
    <w:rsid w:val="001D37D0"/>
    <w:rsid w:val="001E14F3"/>
    <w:rsid w:val="001E247D"/>
    <w:rsid w:val="001E41F3"/>
    <w:rsid w:val="001F23F4"/>
    <w:rsid w:val="001F4ED9"/>
    <w:rsid w:val="00205CEF"/>
    <w:rsid w:val="00211C8C"/>
    <w:rsid w:val="00213332"/>
    <w:rsid w:val="00237BE5"/>
    <w:rsid w:val="00241F1E"/>
    <w:rsid w:val="00241F7E"/>
    <w:rsid w:val="0024263D"/>
    <w:rsid w:val="00244EA1"/>
    <w:rsid w:val="00252147"/>
    <w:rsid w:val="0025710B"/>
    <w:rsid w:val="0025780D"/>
    <w:rsid w:val="0026004D"/>
    <w:rsid w:val="00261A3E"/>
    <w:rsid w:val="00263A45"/>
    <w:rsid w:val="002640DD"/>
    <w:rsid w:val="00266926"/>
    <w:rsid w:val="00267BD0"/>
    <w:rsid w:val="00270A81"/>
    <w:rsid w:val="00271EB8"/>
    <w:rsid w:val="00273F0F"/>
    <w:rsid w:val="00275D12"/>
    <w:rsid w:val="00275F58"/>
    <w:rsid w:val="002764D3"/>
    <w:rsid w:val="0028378F"/>
    <w:rsid w:val="00284FEB"/>
    <w:rsid w:val="00285C5A"/>
    <w:rsid w:val="002860C4"/>
    <w:rsid w:val="0029369B"/>
    <w:rsid w:val="00293A4C"/>
    <w:rsid w:val="002A005D"/>
    <w:rsid w:val="002A13F2"/>
    <w:rsid w:val="002A6DAC"/>
    <w:rsid w:val="002B0811"/>
    <w:rsid w:val="002B0A88"/>
    <w:rsid w:val="002B0D9C"/>
    <w:rsid w:val="002B3AFE"/>
    <w:rsid w:val="002B40DE"/>
    <w:rsid w:val="002B5741"/>
    <w:rsid w:val="002B5767"/>
    <w:rsid w:val="002B7BE5"/>
    <w:rsid w:val="002D66C7"/>
    <w:rsid w:val="002D6DFA"/>
    <w:rsid w:val="002E472E"/>
    <w:rsid w:val="002F6E8E"/>
    <w:rsid w:val="00303269"/>
    <w:rsid w:val="00305409"/>
    <w:rsid w:val="003100AB"/>
    <w:rsid w:val="0031015A"/>
    <w:rsid w:val="00323929"/>
    <w:rsid w:val="00324144"/>
    <w:rsid w:val="00332E34"/>
    <w:rsid w:val="003341D4"/>
    <w:rsid w:val="0035205B"/>
    <w:rsid w:val="00352988"/>
    <w:rsid w:val="003541EC"/>
    <w:rsid w:val="003609EF"/>
    <w:rsid w:val="0036231A"/>
    <w:rsid w:val="00366353"/>
    <w:rsid w:val="00374DD4"/>
    <w:rsid w:val="003764DC"/>
    <w:rsid w:val="003774A0"/>
    <w:rsid w:val="00381830"/>
    <w:rsid w:val="00382384"/>
    <w:rsid w:val="0038698E"/>
    <w:rsid w:val="0039789D"/>
    <w:rsid w:val="003978BE"/>
    <w:rsid w:val="003A6B0F"/>
    <w:rsid w:val="003B0C63"/>
    <w:rsid w:val="003B5AD5"/>
    <w:rsid w:val="003B7155"/>
    <w:rsid w:val="003C321A"/>
    <w:rsid w:val="003C7EB3"/>
    <w:rsid w:val="003D3042"/>
    <w:rsid w:val="003D71EA"/>
    <w:rsid w:val="003D77A7"/>
    <w:rsid w:val="003E1A36"/>
    <w:rsid w:val="003E7B85"/>
    <w:rsid w:val="00410371"/>
    <w:rsid w:val="00412541"/>
    <w:rsid w:val="004138AB"/>
    <w:rsid w:val="004213E2"/>
    <w:rsid w:val="00421A1A"/>
    <w:rsid w:val="004242F1"/>
    <w:rsid w:val="00430633"/>
    <w:rsid w:val="00436421"/>
    <w:rsid w:val="00441539"/>
    <w:rsid w:val="00447697"/>
    <w:rsid w:val="00450FD6"/>
    <w:rsid w:val="00455D42"/>
    <w:rsid w:val="0046407B"/>
    <w:rsid w:val="00472A23"/>
    <w:rsid w:val="004753B7"/>
    <w:rsid w:val="00475B4A"/>
    <w:rsid w:val="004762BB"/>
    <w:rsid w:val="004807BF"/>
    <w:rsid w:val="00480F7D"/>
    <w:rsid w:val="00481358"/>
    <w:rsid w:val="00484A72"/>
    <w:rsid w:val="00485C06"/>
    <w:rsid w:val="00492A43"/>
    <w:rsid w:val="004A018A"/>
    <w:rsid w:val="004A4E19"/>
    <w:rsid w:val="004A7209"/>
    <w:rsid w:val="004B1579"/>
    <w:rsid w:val="004B4102"/>
    <w:rsid w:val="004B75B7"/>
    <w:rsid w:val="004B7A9A"/>
    <w:rsid w:val="004B7AED"/>
    <w:rsid w:val="004C011F"/>
    <w:rsid w:val="004D0AFD"/>
    <w:rsid w:val="004E0E79"/>
    <w:rsid w:val="004E39E0"/>
    <w:rsid w:val="004E4E64"/>
    <w:rsid w:val="004E5B2A"/>
    <w:rsid w:val="004F2D43"/>
    <w:rsid w:val="00512721"/>
    <w:rsid w:val="005141D9"/>
    <w:rsid w:val="0051580D"/>
    <w:rsid w:val="005216EB"/>
    <w:rsid w:val="00521C9A"/>
    <w:rsid w:val="00530F0D"/>
    <w:rsid w:val="00532656"/>
    <w:rsid w:val="00536748"/>
    <w:rsid w:val="00536B22"/>
    <w:rsid w:val="005378C5"/>
    <w:rsid w:val="00541FC8"/>
    <w:rsid w:val="00547111"/>
    <w:rsid w:val="00550B8F"/>
    <w:rsid w:val="00551BC5"/>
    <w:rsid w:val="00555D2B"/>
    <w:rsid w:val="00566611"/>
    <w:rsid w:val="00566682"/>
    <w:rsid w:val="0057458F"/>
    <w:rsid w:val="005775EB"/>
    <w:rsid w:val="0058028F"/>
    <w:rsid w:val="00580F19"/>
    <w:rsid w:val="00584791"/>
    <w:rsid w:val="00592D74"/>
    <w:rsid w:val="00596366"/>
    <w:rsid w:val="00597F3E"/>
    <w:rsid w:val="005A36FD"/>
    <w:rsid w:val="005A7899"/>
    <w:rsid w:val="005B34CC"/>
    <w:rsid w:val="005B35CE"/>
    <w:rsid w:val="005B5181"/>
    <w:rsid w:val="005D1AFC"/>
    <w:rsid w:val="005D7698"/>
    <w:rsid w:val="005E0438"/>
    <w:rsid w:val="005E1760"/>
    <w:rsid w:val="005E2C44"/>
    <w:rsid w:val="005F4D7D"/>
    <w:rsid w:val="00602394"/>
    <w:rsid w:val="00603348"/>
    <w:rsid w:val="006037C6"/>
    <w:rsid w:val="006068B7"/>
    <w:rsid w:val="00616BE4"/>
    <w:rsid w:val="006177A2"/>
    <w:rsid w:val="00620C60"/>
    <w:rsid w:val="0062105C"/>
    <w:rsid w:val="00621188"/>
    <w:rsid w:val="006257ED"/>
    <w:rsid w:val="006338DB"/>
    <w:rsid w:val="00634318"/>
    <w:rsid w:val="00634481"/>
    <w:rsid w:val="0063583E"/>
    <w:rsid w:val="00646A88"/>
    <w:rsid w:val="00653DE4"/>
    <w:rsid w:val="006616A0"/>
    <w:rsid w:val="006620D0"/>
    <w:rsid w:val="00662C80"/>
    <w:rsid w:val="00664BA5"/>
    <w:rsid w:val="00665C47"/>
    <w:rsid w:val="006738EC"/>
    <w:rsid w:val="00676A1C"/>
    <w:rsid w:val="00681252"/>
    <w:rsid w:val="0069298E"/>
    <w:rsid w:val="006934B7"/>
    <w:rsid w:val="00693DFF"/>
    <w:rsid w:val="006945B2"/>
    <w:rsid w:val="00695808"/>
    <w:rsid w:val="00697F1A"/>
    <w:rsid w:val="006A027E"/>
    <w:rsid w:val="006A6556"/>
    <w:rsid w:val="006B46FB"/>
    <w:rsid w:val="006C2B23"/>
    <w:rsid w:val="006C3D90"/>
    <w:rsid w:val="006C66A2"/>
    <w:rsid w:val="006D32F7"/>
    <w:rsid w:val="006E1F4A"/>
    <w:rsid w:val="006E21FB"/>
    <w:rsid w:val="006F0007"/>
    <w:rsid w:val="006F62BF"/>
    <w:rsid w:val="006F7C94"/>
    <w:rsid w:val="00705799"/>
    <w:rsid w:val="007166AC"/>
    <w:rsid w:val="00722015"/>
    <w:rsid w:val="00723CFA"/>
    <w:rsid w:val="00725F02"/>
    <w:rsid w:val="00726E96"/>
    <w:rsid w:val="00731328"/>
    <w:rsid w:val="00731EB5"/>
    <w:rsid w:val="007449C1"/>
    <w:rsid w:val="007550F1"/>
    <w:rsid w:val="00757530"/>
    <w:rsid w:val="00760279"/>
    <w:rsid w:val="00761919"/>
    <w:rsid w:val="00782AE3"/>
    <w:rsid w:val="00783A7F"/>
    <w:rsid w:val="00785869"/>
    <w:rsid w:val="00787C44"/>
    <w:rsid w:val="00790021"/>
    <w:rsid w:val="00792342"/>
    <w:rsid w:val="00792A17"/>
    <w:rsid w:val="007977A8"/>
    <w:rsid w:val="007B140E"/>
    <w:rsid w:val="007B512A"/>
    <w:rsid w:val="007C2097"/>
    <w:rsid w:val="007D2066"/>
    <w:rsid w:val="007D6A07"/>
    <w:rsid w:val="007E0439"/>
    <w:rsid w:val="007E056F"/>
    <w:rsid w:val="007E0DBD"/>
    <w:rsid w:val="007E3FFE"/>
    <w:rsid w:val="007E75A6"/>
    <w:rsid w:val="007E76E5"/>
    <w:rsid w:val="007F21E7"/>
    <w:rsid w:val="007F4F00"/>
    <w:rsid w:val="007F7259"/>
    <w:rsid w:val="0080239C"/>
    <w:rsid w:val="008040A8"/>
    <w:rsid w:val="00804E8A"/>
    <w:rsid w:val="00811FC2"/>
    <w:rsid w:val="00814FB5"/>
    <w:rsid w:val="00820A07"/>
    <w:rsid w:val="008279FA"/>
    <w:rsid w:val="00830135"/>
    <w:rsid w:val="0083204A"/>
    <w:rsid w:val="0083622E"/>
    <w:rsid w:val="00843EE2"/>
    <w:rsid w:val="00844095"/>
    <w:rsid w:val="008464AE"/>
    <w:rsid w:val="00851936"/>
    <w:rsid w:val="008521A2"/>
    <w:rsid w:val="00857066"/>
    <w:rsid w:val="008626E7"/>
    <w:rsid w:val="00865691"/>
    <w:rsid w:val="00866358"/>
    <w:rsid w:val="00866F7A"/>
    <w:rsid w:val="00870EE7"/>
    <w:rsid w:val="00874244"/>
    <w:rsid w:val="00874F3B"/>
    <w:rsid w:val="00876C6A"/>
    <w:rsid w:val="00877E18"/>
    <w:rsid w:val="00885B7E"/>
    <w:rsid w:val="008863B9"/>
    <w:rsid w:val="00896595"/>
    <w:rsid w:val="008A45A6"/>
    <w:rsid w:val="008B3920"/>
    <w:rsid w:val="008B3D53"/>
    <w:rsid w:val="008B5CF6"/>
    <w:rsid w:val="008C0D37"/>
    <w:rsid w:val="008C4BDF"/>
    <w:rsid w:val="008C506E"/>
    <w:rsid w:val="008D2402"/>
    <w:rsid w:val="008D29EB"/>
    <w:rsid w:val="008D3B0A"/>
    <w:rsid w:val="008D3CCC"/>
    <w:rsid w:val="008D58A4"/>
    <w:rsid w:val="008D5DBA"/>
    <w:rsid w:val="008D73D8"/>
    <w:rsid w:val="008E18EB"/>
    <w:rsid w:val="008E2280"/>
    <w:rsid w:val="008E2639"/>
    <w:rsid w:val="008E2D7D"/>
    <w:rsid w:val="008E7871"/>
    <w:rsid w:val="008F3789"/>
    <w:rsid w:val="008F4CCF"/>
    <w:rsid w:val="008F686C"/>
    <w:rsid w:val="00902011"/>
    <w:rsid w:val="00906069"/>
    <w:rsid w:val="009110E5"/>
    <w:rsid w:val="00911208"/>
    <w:rsid w:val="00912B33"/>
    <w:rsid w:val="00913C66"/>
    <w:rsid w:val="009148DE"/>
    <w:rsid w:val="00923B06"/>
    <w:rsid w:val="00931B6E"/>
    <w:rsid w:val="00933B1C"/>
    <w:rsid w:val="009346BB"/>
    <w:rsid w:val="009358CA"/>
    <w:rsid w:val="009416BE"/>
    <w:rsid w:val="00941702"/>
    <w:rsid w:val="00941E30"/>
    <w:rsid w:val="00952689"/>
    <w:rsid w:val="009531B0"/>
    <w:rsid w:val="0095533D"/>
    <w:rsid w:val="00961470"/>
    <w:rsid w:val="00963498"/>
    <w:rsid w:val="00971CBF"/>
    <w:rsid w:val="009741B3"/>
    <w:rsid w:val="009755FE"/>
    <w:rsid w:val="009756AC"/>
    <w:rsid w:val="009777D9"/>
    <w:rsid w:val="009815F6"/>
    <w:rsid w:val="00986AF3"/>
    <w:rsid w:val="00991B88"/>
    <w:rsid w:val="00995B9E"/>
    <w:rsid w:val="009A1237"/>
    <w:rsid w:val="009A40E3"/>
    <w:rsid w:val="009A5753"/>
    <w:rsid w:val="009A579D"/>
    <w:rsid w:val="009C38B9"/>
    <w:rsid w:val="009C4C7C"/>
    <w:rsid w:val="009D2F57"/>
    <w:rsid w:val="009D66EA"/>
    <w:rsid w:val="009E3297"/>
    <w:rsid w:val="009E4AE8"/>
    <w:rsid w:val="009E5496"/>
    <w:rsid w:val="009E6AD6"/>
    <w:rsid w:val="009F2051"/>
    <w:rsid w:val="009F2C70"/>
    <w:rsid w:val="009F4F72"/>
    <w:rsid w:val="009F538C"/>
    <w:rsid w:val="009F6829"/>
    <w:rsid w:val="009F734F"/>
    <w:rsid w:val="00A005EB"/>
    <w:rsid w:val="00A02A67"/>
    <w:rsid w:val="00A040F0"/>
    <w:rsid w:val="00A06023"/>
    <w:rsid w:val="00A074CA"/>
    <w:rsid w:val="00A1138F"/>
    <w:rsid w:val="00A12413"/>
    <w:rsid w:val="00A13D65"/>
    <w:rsid w:val="00A15803"/>
    <w:rsid w:val="00A20A2B"/>
    <w:rsid w:val="00A246B6"/>
    <w:rsid w:val="00A2692F"/>
    <w:rsid w:val="00A26AE9"/>
    <w:rsid w:val="00A27819"/>
    <w:rsid w:val="00A33C7A"/>
    <w:rsid w:val="00A41C18"/>
    <w:rsid w:val="00A47E70"/>
    <w:rsid w:val="00A50CF0"/>
    <w:rsid w:val="00A52966"/>
    <w:rsid w:val="00A557F6"/>
    <w:rsid w:val="00A577E8"/>
    <w:rsid w:val="00A71052"/>
    <w:rsid w:val="00A7400E"/>
    <w:rsid w:val="00A7671C"/>
    <w:rsid w:val="00A769C6"/>
    <w:rsid w:val="00A8023A"/>
    <w:rsid w:val="00A80458"/>
    <w:rsid w:val="00A80CAE"/>
    <w:rsid w:val="00A8106D"/>
    <w:rsid w:val="00A81C28"/>
    <w:rsid w:val="00A91726"/>
    <w:rsid w:val="00A95660"/>
    <w:rsid w:val="00AA127C"/>
    <w:rsid w:val="00AA169B"/>
    <w:rsid w:val="00AA2CBC"/>
    <w:rsid w:val="00AA5D6A"/>
    <w:rsid w:val="00AC2554"/>
    <w:rsid w:val="00AC5820"/>
    <w:rsid w:val="00AD1CD8"/>
    <w:rsid w:val="00AD5603"/>
    <w:rsid w:val="00AE7AC4"/>
    <w:rsid w:val="00AF65E8"/>
    <w:rsid w:val="00B00FA0"/>
    <w:rsid w:val="00B06332"/>
    <w:rsid w:val="00B10D98"/>
    <w:rsid w:val="00B14CB7"/>
    <w:rsid w:val="00B217E6"/>
    <w:rsid w:val="00B22802"/>
    <w:rsid w:val="00B258BB"/>
    <w:rsid w:val="00B261F9"/>
    <w:rsid w:val="00B3238D"/>
    <w:rsid w:val="00B32C40"/>
    <w:rsid w:val="00B35D2D"/>
    <w:rsid w:val="00B51E15"/>
    <w:rsid w:val="00B53F8F"/>
    <w:rsid w:val="00B5475F"/>
    <w:rsid w:val="00B55EB2"/>
    <w:rsid w:val="00B612E9"/>
    <w:rsid w:val="00B6519D"/>
    <w:rsid w:val="00B657F2"/>
    <w:rsid w:val="00B67B97"/>
    <w:rsid w:val="00B70530"/>
    <w:rsid w:val="00B70687"/>
    <w:rsid w:val="00B73DA7"/>
    <w:rsid w:val="00B76E1E"/>
    <w:rsid w:val="00B908E4"/>
    <w:rsid w:val="00B968C8"/>
    <w:rsid w:val="00B97F89"/>
    <w:rsid w:val="00BA33FB"/>
    <w:rsid w:val="00BA3E70"/>
    <w:rsid w:val="00BA3EC5"/>
    <w:rsid w:val="00BA46A9"/>
    <w:rsid w:val="00BA51D9"/>
    <w:rsid w:val="00BB06C1"/>
    <w:rsid w:val="00BB3505"/>
    <w:rsid w:val="00BB36FF"/>
    <w:rsid w:val="00BB5DFC"/>
    <w:rsid w:val="00BC0A0D"/>
    <w:rsid w:val="00BC6BED"/>
    <w:rsid w:val="00BD106C"/>
    <w:rsid w:val="00BD279D"/>
    <w:rsid w:val="00BD3E26"/>
    <w:rsid w:val="00BD6BB8"/>
    <w:rsid w:val="00BE68EC"/>
    <w:rsid w:val="00BF239B"/>
    <w:rsid w:val="00BF2997"/>
    <w:rsid w:val="00BF66DE"/>
    <w:rsid w:val="00C17288"/>
    <w:rsid w:val="00C21FCD"/>
    <w:rsid w:val="00C22AAF"/>
    <w:rsid w:val="00C26318"/>
    <w:rsid w:val="00C31E57"/>
    <w:rsid w:val="00C32CFE"/>
    <w:rsid w:val="00C41AC7"/>
    <w:rsid w:val="00C439E5"/>
    <w:rsid w:val="00C43C6B"/>
    <w:rsid w:val="00C4794D"/>
    <w:rsid w:val="00C47A88"/>
    <w:rsid w:val="00C51930"/>
    <w:rsid w:val="00C52343"/>
    <w:rsid w:val="00C546F2"/>
    <w:rsid w:val="00C56CDE"/>
    <w:rsid w:val="00C65D12"/>
    <w:rsid w:val="00C66BA2"/>
    <w:rsid w:val="00C700AD"/>
    <w:rsid w:val="00C72FA3"/>
    <w:rsid w:val="00C73F26"/>
    <w:rsid w:val="00C77E2E"/>
    <w:rsid w:val="00C81DB1"/>
    <w:rsid w:val="00C870F6"/>
    <w:rsid w:val="00C93C6E"/>
    <w:rsid w:val="00C94FB9"/>
    <w:rsid w:val="00C95985"/>
    <w:rsid w:val="00CB39EC"/>
    <w:rsid w:val="00CB57C8"/>
    <w:rsid w:val="00CC249C"/>
    <w:rsid w:val="00CC5026"/>
    <w:rsid w:val="00CC68D0"/>
    <w:rsid w:val="00CC6DF3"/>
    <w:rsid w:val="00CD43C8"/>
    <w:rsid w:val="00CD5123"/>
    <w:rsid w:val="00CD626F"/>
    <w:rsid w:val="00CF2AC3"/>
    <w:rsid w:val="00CF5053"/>
    <w:rsid w:val="00D00F8E"/>
    <w:rsid w:val="00D03CA8"/>
    <w:rsid w:val="00D03F9A"/>
    <w:rsid w:val="00D06D51"/>
    <w:rsid w:val="00D10FFA"/>
    <w:rsid w:val="00D11B5B"/>
    <w:rsid w:val="00D12A30"/>
    <w:rsid w:val="00D24991"/>
    <w:rsid w:val="00D2713D"/>
    <w:rsid w:val="00D33BFD"/>
    <w:rsid w:val="00D3521F"/>
    <w:rsid w:val="00D44E20"/>
    <w:rsid w:val="00D47471"/>
    <w:rsid w:val="00D50255"/>
    <w:rsid w:val="00D50EC2"/>
    <w:rsid w:val="00D517BA"/>
    <w:rsid w:val="00D55D24"/>
    <w:rsid w:val="00D636ED"/>
    <w:rsid w:val="00D66520"/>
    <w:rsid w:val="00D67B01"/>
    <w:rsid w:val="00D719B3"/>
    <w:rsid w:val="00D8070C"/>
    <w:rsid w:val="00D81ACF"/>
    <w:rsid w:val="00D82AC4"/>
    <w:rsid w:val="00D835FA"/>
    <w:rsid w:val="00D84AE9"/>
    <w:rsid w:val="00D851D8"/>
    <w:rsid w:val="00D9124E"/>
    <w:rsid w:val="00D96592"/>
    <w:rsid w:val="00DA3321"/>
    <w:rsid w:val="00DA6233"/>
    <w:rsid w:val="00DA7A57"/>
    <w:rsid w:val="00DB20D2"/>
    <w:rsid w:val="00DB3696"/>
    <w:rsid w:val="00DC2457"/>
    <w:rsid w:val="00DD5BAE"/>
    <w:rsid w:val="00DE0CB8"/>
    <w:rsid w:val="00DE180C"/>
    <w:rsid w:val="00DE34CF"/>
    <w:rsid w:val="00DE4789"/>
    <w:rsid w:val="00DE4E98"/>
    <w:rsid w:val="00DE5B30"/>
    <w:rsid w:val="00E0070B"/>
    <w:rsid w:val="00E02E28"/>
    <w:rsid w:val="00E05C34"/>
    <w:rsid w:val="00E066B8"/>
    <w:rsid w:val="00E13F3D"/>
    <w:rsid w:val="00E17289"/>
    <w:rsid w:val="00E209A6"/>
    <w:rsid w:val="00E21365"/>
    <w:rsid w:val="00E242E0"/>
    <w:rsid w:val="00E24F1E"/>
    <w:rsid w:val="00E31768"/>
    <w:rsid w:val="00E322B8"/>
    <w:rsid w:val="00E34898"/>
    <w:rsid w:val="00E50399"/>
    <w:rsid w:val="00E53B2E"/>
    <w:rsid w:val="00E541D9"/>
    <w:rsid w:val="00E56323"/>
    <w:rsid w:val="00E70161"/>
    <w:rsid w:val="00E7238A"/>
    <w:rsid w:val="00E740FA"/>
    <w:rsid w:val="00E84E04"/>
    <w:rsid w:val="00E907C7"/>
    <w:rsid w:val="00EA2363"/>
    <w:rsid w:val="00EA2D64"/>
    <w:rsid w:val="00EB09B7"/>
    <w:rsid w:val="00EB0F5C"/>
    <w:rsid w:val="00EC523C"/>
    <w:rsid w:val="00EC72B2"/>
    <w:rsid w:val="00ED1EDE"/>
    <w:rsid w:val="00ED1F70"/>
    <w:rsid w:val="00ED4D1B"/>
    <w:rsid w:val="00EE09D5"/>
    <w:rsid w:val="00EE2AD1"/>
    <w:rsid w:val="00EE6198"/>
    <w:rsid w:val="00EE7D7C"/>
    <w:rsid w:val="00EF0175"/>
    <w:rsid w:val="00EF428D"/>
    <w:rsid w:val="00EF5CFD"/>
    <w:rsid w:val="00F00D3A"/>
    <w:rsid w:val="00F0167F"/>
    <w:rsid w:val="00F0493B"/>
    <w:rsid w:val="00F07008"/>
    <w:rsid w:val="00F12F40"/>
    <w:rsid w:val="00F1767C"/>
    <w:rsid w:val="00F17D54"/>
    <w:rsid w:val="00F25D98"/>
    <w:rsid w:val="00F2679A"/>
    <w:rsid w:val="00F27FBB"/>
    <w:rsid w:val="00F300FB"/>
    <w:rsid w:val="00F36E00"/>
    <w:rsid w:val="00F4599C"/>
    <w:rsid w:val="00F47E3F"/>
    <w:rsid w:val="00F56341"/>
    <w:rsid w:val="00F62DA1"/>
    <w:rsid w:val="00F657D0"/>
    <w:rsid w:val="00F67D24"/>
    <w:rsid w:val="00F71CCE"/>
    <w:rsid w:val="00F71F00"/>
    <w:rsid w:val="00F772D4"/>
    <w:rsid w:val="00F956F5"/>
    <w:rsid w:val="00F95AE4"/>
    <w:rsid w:val="00F95D46"/>
    <w:rsid w:val="00F96256"/>
    <w:rsid w:val="00FA177F"/>
    <w:rsid w:val="00FA1CC1"/>
    <w:rsid w:val="00FB16E1"/>
    <w:rsid w:val="00FB1AB7"/>
    <w:rsid w:val="00FB4EFF"/>
    <w:rsid w:val="00FB6386"/>
    <w:rsid w:val="00FC7DD1"/>
    <w:rsid w:val="00FD00B7"/>
    <w:rsid w:val="00FD0C83"/>
    <w:rsid w:val="00FD7DE1"/>
    <w:rsid w:val="00FF309C"/>
    <w:rsid w:val="00FF4588"/>
    <w:rsid w:val="00FF48B6"/>
    <w:rsid w:val="00FF6D15"/>
    <w:rsid w:val="026506C6"/>
    <w:rsid w:val="031B48D7"/>
    <w:rsid w:val="1F7DB3D0"/>
    <w:rsid w:val="3FBB6BD4"/>
    <w:rsid w:val="404E573A"/>
    <w:rsid w:val="43F2500F"/>
    <w:rsid w:val="4FC43CED"/>
    <w:rsid w:val="5FFF4FCA"/>
    <w:rsid w:val="6D5F64D7"/>
    <w:rsid w:val="71BD0F86"/>
    <w:rsid w:val="756D3991"/>
    <w:rsid w:val="77566D18"/>
    <w:rsid w:val="7C8DF189"/>
    <w:rsid w:val="7F5F8122"/>
    <w:rsid w:val="A7BE4F69"/>
    <w:rsid w:val="A7E7A1B5"/>
    <w:rsid w:val="BE7306E5"/>
    <w:rsid w:val="CFBF3C01"/>
    <w:rsid w:val="D4FFF4B2"/>
    <w:rsid w:val="E9EF1192"/>
    <w:rsid w:val="EDEE7C98"/>
    <w:rsid w:val="EFA765BE"/>
    <w:rsid w:val="FCD91ED2"/>
    <w:rsid w:val="FE8D306B"/>
    <w:rsid w:val="FFBEE553"/>
    <w:rsid w:val="FFF4D037"/>
    <w:rsid w:val="FFFBC5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10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paragraph" w:styleId="15">
    <w:name w:val="Body Text"/>
    <w:basedOn w:val="1"/>
    <w:link w:val="105"/>
    <w:semiHidden/>
    <w:unhideWhenUsed/>
    <w:qFormat/>
    <w:uiPriority w:val="0"/>
    <w:pPr>
      <w:spacing w:after="120"/>
    </w:pPr>
  </w:style>
  <w:style w:type="character" w:styleId="16">
    <w:name w:val="annotation reference"/>
    <w:semiHidden/>
    <w:qFormat/>
    <w:uiPriority w:val="0"/>
    <w:rPr>
      <w:sz w:val="16"/>
    </w:rPr>
  </w:style>
  <w:style w:type="paragraph" w:styleId="17">
    <w:name w:val="annotation text"/>
    <w:basedOn w:val="1"/>
    <w:link w:val="96"/>
    <w:semiHidden/>
    <w:qFormat/>
    <w:uiPriority w:val="0"/>
  </w:style>
  <w:style w:type="paragraph" w:styleId="18">
    <w:name w:val="annotation subject"/>
    <w:basedOn w:val="17"/>
    <w:next w:val="17"/>
    <w:semiHidden/>
    <w:qFormat/>
    <w:uiPriority w:val="0"/>
    <w:rPr>
      <w:b/>
      <w:bCs/>
    </w:rPr>
  </w:style>
  <w:style w:type="paragraph" w:styleId="19">
    <w:name w:val="Document Map"/>
    <w:basedOn w:val="1"/>
    <w:semiHidden/>
    <w:uiPriority w:val="0"/>
    <w:pPr>
      <w:shd w:val="clear" w:color="auto" w:fill="000080"/>
    </w:pPr>
    <w:rPr>
      <w:rFonts w:ascii="Tahoma" w:hAnsi="Tahoma" w:cs="Tahoma"/>
    </w:rPr>
  </w:style>
  <w:style w:type="character" w:styleId="20">
    <w:name w:val="FollowedHyperlink"/>
    <w:qFormat/>
    <w:uiPriority w:val="0"/>
    <w:rPr>
      <w:color w:val="800080"/>
      <w:u w:val="single"/>
    </w:rPr>
  </w:style>
  <w:style w:type="paragraph" w:styleId="21">
    <w:name w:val="footer"/>
    <w:basedOn w:val="22"/>
    <w:qFormat/>
    <w:uiPriority w:val="0"/>
    <w:pPr>
      <w:jc w:val="center"/>
    </w:pPr>
    <w:rPr>
      <w:i/>
    </w:rPr>
  </w:style>
  <w:style w:type="paragraph" w:styleId="22">
    <w:name w:val="header"/>
    <w:qFormat/>
    <w:uiPriority w:val="0"/>
    <w:pPr>
      <w:widowControl w:val="0"/>
    </w:pPr>
    <w:rPr>
      <w:rFonts w:ascii="Arial" w:hAnsi="Arial" w:eastAsia="SimSun" w:cs="Times New Roman"/>
      <w:b/>
      <w:sz w:val="18"/>
      <w:lang w:val="en-GB" w:eastAsia="en-US" w:bidi="ar-SA"/>
    </w:rPr>
  </w:style>
  <w:style w:type="character" w:styleId="23">
    <w:name w:val="footnote reference"/>
    <w:semiHidden/>
    <w:qFormat/>
    <w:uiPriority w:val="0"/>
    <w:rPr>
      <w:b/>
      <w:position w:val="6"/>
      <w:sz w:val="16"/>
    </w:rPr>
  </w:style>
  <w:style w:type="paragraph" w:styleId="24">
    <w:name w:val="footnote text"/>
    <w:basedOn w:val="1"/>
    <w:semiHidden/>
    <w:qFormat/>
    <w:uiPriority w:val="0"/>
    <w:pPr>
      <w:keepLines/>
      <w:spacing w:after="0"/>
      <w:ind w:left="454" w:hanging="454"/>
    </w:pPr>
    <w:rPr>
      <w:sz w:val="16"/>
    </w:rPr>
  </w:style>
  <w:style w:type="character" w:styleId="25">
    <w:name w:val="Hyperlink"/>
    <w:qFormat/>
    <w:uiPriority w:val="0"/>
    <w:rPr>
      <w:color w:val="0000FF"/>
      <w:u w:val="single"/>
    </w:rPr>
  </w:style>
  <w:style w:type="paragraph" w:styleId="26">
    <w:name w:val="index 1"/>
    <w:basedOn w:val="1"/>
    <w:next w:val="1"/>
    <w:semiHidden/>
    <w:qFormat/>
    <w:uiPriority w:val="0"/>
    <w:pPr>
      <w:keepLines/>
      <w:spacing w:after="0"/>
    </w:pPr>
  </w:style>
  <w:style w:type="paragraph" w:styleId="27">
    <w:name w:val="index 2"/>
    <w:basedOn w:val="26"/>
    <w:next w:val="1"/>
    <w:semiHidden/>
    <w:qFormat/>
    <w:uiPriority w:val="0"/>
    <w:pPr>
      <w:ind w:left="284"/>
    </w:pPr>
  </w:style>
  <w:style w:type="paragraph" w:styleId="28">
    <w:name w:val="List"/>
    <w:basedOn w:val="1"/>
    <w:qFormat/>
    <w:uiPriority w:val="0"/>
    <w:pPr>
      <w:ind w:left="568" w:hanging="284"/>
    </w:pPr>
  </w:style>
  <w:style w:type="paragraph" w:styleId="29">
    <w:name w:val="List 2"/>
    <w:basedOn w:val="28"/>
    <w:qFormat/>
    <w:uiPriority w:val="0"/>
    <w:pPr>
      <w:ind w:left="851"/>
    </w:pPr>
  </w:style>
  <w:style w:type="paragraph" w:styleId="30">
    <w:name w:val="List 3"/>
    <w:basedOn w:val="29"/>
    <w:qFormat/>
    <w:uiPriority w:val="0"/>
    <w:pPr>
      <w:ind w:left="1135"/>
    </w:pPr>
  </w:style>
  <w:style w:type="paragraph" w:styleId="31">
    <w:name w:val="List 4"/>
    <w:basedOn w:val="30"/>
    <w:qFormat/>
    <w:uiPriority w:val="0"/>
    <w:pPr>
      <w:ind w:left="1418"/>
    </w:pPr>
  </w:style>
  <w:style w:type="paragraph" w:styleId="32">
    <w:name w:val="List 5"/>
    <w:basedOn w:val="31"/>
    <w:qFormat/>
    <w:uiPriority w:val="0"/>
    <w:pPr>
      <w:ind w:left="1702"/>
    </w:pPr>
  </w:style>
  <w:style w:type="paragraph" w:styleId="33">
    <w:name w:val="List Bullet"/>
    <w:basedOn w:val="28"/>
    <w:qFormat/>
    <w:uiPriority w:val="0"/>
  </w:style>
  <w:style w:type="paragraph" w:styleId="34">
    <w:name w:val="List Bullet 2"/>
    <w:basedOn w:val="33"/>
    <w:qFormat/>
    <w:uiPriority w:val="0"/>
    <w:pPr>
      <w:ind w:left="851"/>
    </w:pPr>
  </w:style>
  <w:style w:type="paragraph" w:styleId="35">
    <w:name w:val="List Bullet 3"/>
    <w:basedOn w:val="34"/>
    <w:qFormat/>
    <w:uiPriority w:val="0"/>
    <w:pPr>
      <w:ind w:left="1135"/>
    </w:pPr>
  </w:style>
  <w:style w:type="paragraph" w:styleId="36">
    <w:name w:val="List Bullet 4"/>
    <w:basedOn w:val="35"/>
    <w:qFormat/>
    <w:uiPriority w:val="0"/>
    <w:pPr>
      <w:ind w:left="1418"/>
    </w:pPr>
  </w:style>
  <w:style w:type="paragraph" w:styleId="37">
    <w:name w:val="List Bullet 5"/>
    <w:basedOn w:val="36"/>
    <w:qFormat/>
    <w:uiPriority w:val="0"/>
    <w:pPr>
      <w:ind w:left="1702"/>
    </w:pPr>
  </w:style>
  <w:style w:type="paragraph" w:styleId="38">
    <w:name w:val="List Number"/>
    <w:basedOn w:val="28"/>
    <w:qFormat/>
    <w:uiPriority w:val="0"/>
  </w:style>
  <w:style w:type="paragraph" w:styleId="39">
    <w:name w:val="List Number 2"/>
    <w:basedOn w:val="38"/>
    <w:qFormat/>
    <w:uiPriority w:val="0"/>
    <w:pPr>
      <w:ind w:left="851"/>
    </w:pPr>
  </w:style>
  <w:style w:type="character" w:styleId="40">
    <w:name w:val="Strong"/>
    <w:basedOn w:val="12"/>
    <w:qFormat/>
    <w:uiPriority w:val="22"/>
    <w:rPr>
      <w:b/>
      <w:bCs/>
    </w:rPr>
  </w:style>
  <w:style w:type="paragraph" w:styleId="4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42">
    <w:name w:val="toc 2"/>
    <w:basedOn w:val="41"/>
    <w:next w:val="1"/>
    <w:semiHidden/>
    <w:qFormat/>
    <w:uiPriority w:val="0"/>
    <w:pPr>
      <w:keepNext w:val="0"/>
      <w:spacing w:before="0"/>
      <w:ind w:left="851" w:hanging="851"/>
    </w:pPr>
    <w:rPr>
      <w:sz w:val="20"/>
    </w:rPr>
  </w:style>
  <w:style w:type="paragraph" w:styleId="43">
    <w:name w:val="toc 3"/>
    <w:basedOn w:val="42"/>
    <w:next w:val="1"/>
    <w:semiHidden/>
    <w:qFormat/>
    <w:uiPriority w:val="0"/>
    <w:pPr>
      <w:ind w:left="1134" w:hanging="1134"/>
    </w:pPr>
  </w:style>
  <w:style w:type="paragraph" w:styleId="44">
    <w:name w:val="toc 4"/>
    <w:basedOn w:val="43"/>
    <w:next w:val="1"/>
    <w:semiHidden/>
    <w:qFormat/>
    <w:uiPriority w:val="0"/>
    <w:pPr>
      <w:ind w:left="1418" w:hanging="1418"/>
    </w:pPr>
  </w:style>
  <w:style w:type="paragraph" w:styleId="45">
    <w:name w:val="toc 5"/>
    <w:basedOn w:val="44"/>
    <w:next w:val="1"/>
    <w:semiHidden/>
    <w:qFormat/>
    <w:uiPriority w:val="0"/>
    <w:pPr>
      <w:ind w:left="1701" w:hanging="1701"/>
    </w:pPr>
  </w:style>
  <w:style w:type="paragraph" w:styleId="46">
    <w:name w:val="toc 6"/>
    <w:basedOn w:val="45"/>
    <w:next w:val="1"/>
    <w:semiHidden/>
    <w:qFormat/>
    <w:uiPriority w:val="0"/>
    <w:pPr>
      <w:ind w:left="1985" w:hanging="1985"/>
    </w:pPr>
  </w:style>
  <w:style w:type="paragraph" w:styleId="47">
    <w:name w:val="toc 7"/>
    <w:basedOn w:val="46"/>
    <w:next w:val="1"/>
    <w:semiHidden/>
    <w:qFormat/>
    <w:uiPriority w:val="0"/>
    <w:pPr>
      <w:ind w:left="2268" w:hanging="2268"/>
    </w:pPr>
  </w:style>
  <w:style w:type="paragraph" w:styleId="48">
    <w:name w:val="toc 8"/>
    <w:basedOn w:val="41"/>
    <w:next w:val="1"/>
    <w:semiHidden/>
    <w:qFormat/>
    <w:uiPriority w:val="0"/>
    <w:pPr>
      <w:spacing w:before="180"/>
      <w:ind w:left="2693" w:hanging="2693"/>
    </w:pPr>
    <w:rPr>
      <w:b/>
    </w:rPr>
  </w:style>
  <w:style w:type="paragraph" w:styleId="49">
    <w:name w:val="toc 9"/>
    <w:basedOn w:val="48"/>
    <w:next w:val="1"/>
    <w:semiHidden/>
    <w:qFormat/>
    <w:uiPriority w:val="0"/>
    <w:pPr>
      <w:ind w:left="1418" w:hanging="1418"/>
    </w:p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5"/>
    <w:qFormat/>
    <w:uiPriority w:val="0"/>
    <w:rPr>
      <w:b/>
    </w:rPr>
  </w:style>
  <w:style w:type="paragraph" w:customStyle="1" w:styleId="54">
    <w:name w:val="TAC"/>
    <w:basedOn w:val="55"/>
    <w:qFormat/>
    <w:uiPriority w:val="0"/>
    <w:pPr>
      <w:jc w:val="center"/>
    </w:pPr>
  </w:style>
  <w:style w:type="paragraph" w:customStyle="1" w:styleId="55">
    <w:name w:val="TAL"/>
    <w:basedOn w:val="1"/>
    <w:link w:val="94"/>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7"/>
    <w:qFormat/>
    <w:uiPriority w:val="0"/>
    <w:pPr>
      <w:keepNext/>
      <w:keepLines/>
      <w:spacing w:before="60"/>
      <w:jc w:val="center"/>
    </w:pPr>
    <w:rPr>
      <w:rFonts w:ascii="Arial" w:hAnsi="Arial"/>
      <w:b/>
    </w:rPr>
  </w:style>
  <w:style w:type="paragraph" w:customStyle="1" w:styleId="58">
    <w:name w:val="NO"/>
    <w:basedOn w:val="1"/>
    <w:link w:val="85"/>
    <w:qFormat/>
    <w:uiPriority w:val="0"/>
    <w:pPr>
      <w:keepLines/>
      <w:ind w:left="1135" w:hanging="851"/>
    </w:pPr>
  </w:style>
  <w:style w:type="paragraph" w:customStyle="1" w:styleId="59">
    <w:name w:val="EX"/>
    <w:basedOn w:val="1"/>
    <w:link w:val="102"/>
    <w:qFormat/>
    <w:uiPriority w:val="0"/>
    <w:pPr>
      <w:keepLines/>
      <w:ind w:left="1702" w:hanging="1418"/>
    </w:pPr>
  </w:style>
  <w:style w:type="paragraph" w:customStyle="1" w:styleId="60">
    <w:name w:val="FP"/>
    <w:basedOn w:val="1"/>
    <w:uiPriority w:val="0"/>
    <w:pPr>
      <w:spacing w:after="0"/>
    </w:pPr>
  </w:style>
  <w:style w:type="paragraph" w:customStyle="1" w:styleId="61">
    <w:name w:val="LD"/>
    <w:qFormat/>
    <w:uiPriority w:val="0"/>
    <w:pPr>
      <w:keepNext/>
      <w:keepLines/>
      <w:spacing w:line="180" w:lineRule="exact"/>
    </w:pPr>
    <w:rPr>
      <w:rFonts w:ascii="MS LineDraw" w:hAnsi="MS LineDraw" w:eastAsia="SimSu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28"/>
    <w:link w:val="86"/>
    <w:qFormat/>
    <w:uiPriority w:val="0"/>
  </w:style>
  <w:style w:type="paragraph" w:customStyle="1" w:styleId="78">
    <w:name w:val="B2"/>
    <w:basedOn w:val="29"/>
    <w:link w:val="89"/>
    <w:qFormat/>
    <w:uiPriority w:val="0"/>
  </w:style>
  <w:style w:type="paragraph" w:customStyle="1" w:styleId="79">
    <w:name w:val="B3"/>
    <w:basedOn w:val="30"/>
    <w:qFormat/>
    <w:uiPriority w:val="0"/>
  </w:style>
  <w:style w:type="paragraph" w:customStyle="1" w:styleId="80">
    <w:name w:val="B4"/>
    <w:basedOn w:val="31"/>
    <w:qFormat/>
    <w:uiPriority w:val="0"/>
  </w:style>
  <w:style w:type="paragraph" w:customStyle="1" w:styleId="81">
    <w:name w:val="B5"/>
    <w:basedOn w:val="32"/>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SimSun" w:cs="Times New Roman"/>
      <w:lang w:val="en-GB" w:eastAsia="en-US" w:bidi="ar-SA"/>
    </w:rPr>
  </w:style>
  <w:style w:type="paragraph" w:customStyle="1" w:styleId="84">
    <w:name w:val="tdoc-header"/>
    <w:qFormat/>
    <w:uiPriority w:val="0"/>
    <w:rPr>
      <w:rFonts w:ascii="Arial" w:hAnsi="Arial" w:eastAsia="SimSun" w:cs="Times New Roman"/>
      <w:sz w:val="24"/>
      <w:lang w:val="en-GB" w:eastAsia="en-US" w:bidi="ar-SA"/>
    </w:rPr>
  </w:style>
  <w:style w:type="character" w:customStyle="1" w:styleId="85">
    <w:name w:val="NO Zchn"/>
    <w:link w:val="58"/>
    <w:qFormat/>
    <w:uiPriority w:val="0"/>
    <w:rPr>
      <w:rFonts w:ascii="Times New Roman" w:hAnsi="Times New Roman"/>
      <w:lang w:val="en-GB" w:eastAsia="en-US"/>
    </w:rPr>
  </w:style>
  <w:style w:type="character" w:customStyle="1" w:styleId="86">
    <w:name w:val="B1 Zchn"/>
    <w:link w:val="77"/>
    <w:qFormat/>
    <w:uiPriority w:val="0"/>
    <w:rPr>
      <w:rFonts w:ascii="Times New Roman" w:hAnsi="Times New Roman"/>
      <w:lang w:val="en-GB" w:eastAsia="en-US"/>
    </w:rPr>
  </w:style>
  <w:style w:type="character" w:customStyle="1" w:styleId="87">
    <w:name w:val="TH Char"/>
    <w:link w:val="57"/>
    <w:qFormat/>
    <w:uiPriority w:val="0"/>
    <w:rPr>
      <w:rFonts w:ascii="Arial" w:hAnsi="Arial"/>
      <w:b/>
      <w:lang w:val="en-GB" w:eastAsia="en-US"/>
    </w:rPr>
  </w:style>
  <w:style w:type="character" w:customStyle="1" w:styleId="88">
    <w:name w:val="TF Char"/>
    <w:link w:val="56"/>
    <w:qFormat/>
    <w:uiPriority w:val="0"/>
    <w:rPr>
      <w:rFonts w:ascii="Arial" w:hAnsi="Arial"/>
      <w:b/>
      <w:lang w:val="en-GB" w:eastAsia="en-US"/>
    </w:rPr>
  </w:style>
  <w:style w:type="character" w:customStyle="1" w:styleId="89">
    <w:name w:val="B2 Char"/>
    <w:link w:val="78"/>
    <w:qFormat/>
    <w:uiPriority w:val="0"/>
    <w:rPr>
      <w:rFonts w:ascii="Times New Roman" w:hAnsi="Times New Roman"/>
      <w:lang w:val="en-GB" w:eastAsia="en-US"/>
    </w:rPr>
  </w:style>
  <w:style w:type="paragraph" w:customStyle="1" w:styleId="90">
    <w:name w:val="Revision1"/>
    <w:hidden/>
    <w:semiHidden/>
    <w:qFormat/>
    <w:uiPriority w:val="99"/>
    <w:rPr>
      <w:rFonts w:ascii="Times New Roman" w:hAnsi="Times New Roman" w:eastAsia="SimSun" w:cs="Times New Roman"/>
      <w:lang w:val="en-GB" w:eastAsia="en-US" w:bidi="ar-SA"/>
    </w:rPr>
  </w:style>
  <w:style w:type="paragraph" w:styleId="91">
    <w:name w:val="List Paragraph"/>
    <w:basedOn w:val="1"/>
    <w:qFormat/>
    <w:uiPriority w:val="34"/>
    <w:pPr>
      <w:ind w:firstLine="420" w:firstLineChars="200"/>
    </w:pPr>
  </w:style>
  <w:style w:type="character" w:customStyle="1" w:styleId="92">
    <w:name w:val="PL Char"/>
    <w:link w:val="66"/>
    <w:qFormat/>
    <w:uiPriority w:val="0"/>
    <w:rPr>
      <w:rFonts w:ascii="Courier New" w:hAnsi="Courier New"/>
      <w:sz w:val="16"/>
      <w:lang w:val="en-GB" w:eastAsia="en-US"/>
    </w:rPr>
  </w:style>
  <w:style w:type="paragraph" w:customStyle="1" w:styleId="93">
    <w:name w:val="First Change"/>
    <w:basedOn w:val="1"/>
    <w:qFormat/>
    <w:uiPriority w:val="0"/>
    <w:pPr>
      <w:jc w:val="center"/>
    </w:pPr>
    <w:rPr>
      <w:rFonts w:eastAsiaTheme="minorEastAsia"/>
      <w:color w:val="FF0000"/>
    </w:rPr>
  </w:style>
  <w:style w:type="character" w:customStyle="1" w:styleId="94">
    <w:name w:val="TAL Char"/>
    <w:link w:val="55"/>
    <w:qFormat/>
    <w:uiPriority w:val="0"/>
    <w:rPr>
      <w:rFonts w:ascii="Arial" w:hAnsi="Arial"/>
      <w:sz w:val="18"/>
      <w:lang w:val="en-GB" w:eastAsia="en-US"/>
    </w:rPr>
  </w:style>
  <w:style w:type="character" w:customStyle="1" w:styleId="95">
    <w:name w:val="TAH Char"/>
    <w:link w:val="53"/>
    <w:qFormat/>
    <w:uiPriority w:val="0"/>
    <w:rPr>
      <w:rFonts w:ascii="Arial" w:hAnsi="Arial"/>
      <w:b/>
      <w:sz w:val="18"/>
      <w:lang w:val="en-GB" w:eastAsia="en-US"/>
    </w:rPr>
  </w:style>
  <w:style w:type="character" w:customStyle="1" w:styleId="96">
    <w:name w:val="Comment Text Char"/>
    <w:basedOn w:val="12"/>
    <w:link w:val="17"/>
    <w:semiHidden/>
    <w:qFormat/>
    <w:uiPriority w:val="0"/>
    <w:rPr>
      <w:rFonts w:ascii="Times New Roman" w:hAnsi="Times New Roman"/>
      <w:lang w:val="en-GB" w:eastAsia="en-US"/>
    </w:rPr>
  </w:style>
  <w:style w:type="paragraph" w:customStyle="1" w:styleId="97">
    <w:name w:val="Doc-text2"/>
    <w:basedOn w:val="1"/>
    <w:link w:val="98"/>
    <w:qFormat/>
    <w:uiPriority w:val="0"/>
    <w:pPr>
      <w:tabs>
        <w:tab w:val="left" w:pos="1622"/>
      </w:tabs>
      <w:spacing w:after="0"/>
      <w:ind w:left="1622" w:hanging="363"/>
    </w:pPr>
    <w:rPr>
      <w:rFonts w:ascii="Arial" w:hAnsi="Arial" w:eastAsia="MS Mincho"/>
      <w:szCs w:val="24"/>
      <w:lang w:eastAsia="en-GB"/>
    </w:rPr>
  </w:style>
  <w:style w:type="character" w:customStyle="1" w:styleId="98">
    <w:name w:val="Doc-text2 Char"/>
    <w:link w:val="97"/>
    <w:qFormat/>
    <w:uiPriority w:val="0"/>
    <w:rPr>
      <w:rFonts w:ascii="Arial" w:hAnsi="Arial" w:eastAsia="MS Mincho"/>
      <w:szCs w:val="24"/>
      <w:lang w:val="en-GB" w:eastAsia="en-GB"/>
    </w:rPr>
  </w:style>
  <w:style w:type="paragraph" w:customStyle="1" w:styleId="99">
    <w:name w:val="Revision2"/>
    <w:hidden/>
    <w:unhideWhenUsed/>
    <w:qFormat/>
    <w:uiPriority w:val="99"/>
    <w:rPr>
      <w:rFonts w:ascii="Times New Roman" w:hAnsi="Times New Roman" w:eastAsia="SimSun" w:cs="Times New Roman"/>
      <w:lang w:val="en-GB" w:eastAsia="en-US" w:bidi="ar-SA"/>
    </w:rPr>
  </w:style>
  <w:style w:type="character" w:customStyle="1" w:styleId="100">
    <w:name w:val="未处理的提及1"/>
    <w:basedOn w:val="12"/>
    <w:semiHidden/>
    <w:unhideWhenUsed/>
    <w:qFormat/>
    <w:uiPriority w:val="99"/>
    <w:rPr>
      <w:color w:val="605E5C"/>
      <w:shd w:val="clear" w:color="auto" w:fill="E1DFDD"/>
    </w:rPr>
  </w:style>
  <w:style w:type="character" w:customStyle="1" w:styleId="101">
    <w:name w:val="NO Char"/>
    <w:qFormat/>
    <w:uiPriority w:val="0"/>
    <w:rPr>
      <w:rFonts w:ascii="Times New Roman" w:hAnsi="Times New Roman"/>
      <w:lang w:val="en-GB"/>
    </w:rPr>
  </w:style>
  <w:style w:type="character" w:customStyle="1" w:styleId="102">
    <w:name w:val="EX Char"/>
    <w:link w:val="59"/>
    <w:qFormat/>
    <w:locked/>
    <w:uiPriority w:val="0"/>
    <w:rPr>
      <w:rFonts w:ascii="Times New Roman" w:hAnsi="Times New Roman"/>
      <w:lang w:eastAsia="en-US"/>
    </w:rPr>
  </w:style>
  <w:style w:type="paragraph" w:customStyle="1" w:styleId="103">
    <w:name w:val="3GPP Normal Text"/>
    <w:basedOn w:val="15"/>
    <w:link w:val="104"/>
    <w:qFormat/>
    <w:uiPriority w:val="0"/>
    <w:pPr>
      <w:spacing w:line="276" w:lineRule="auto"/>
      <w:jc w:val="both"/>
    </w:pPr>
    <w:rPr>
      <w:rFonts w:eastAsia="MS Mincho"/>
      <w:szCs w:val="24"/>
      <w:lang w:eastAsia="ja-JP"/>
    </w:rPr>
  </w:style>
  <w:style w:type="character" w:customStyle="1" w:styleId="104">
    <w:name w:val="3GPP Normal Text Char"/>
    <w:link w:val="103"/>
    <w:qFormat/>
    <w:uiPriority w:val="0"/>
    <w:rPr>
      <w:rFonts w:ascii="Times New Roman" w:hAnsi="Times New Roman" w:eastAsia="MS Mincho"/>
      <w:szCs w:val="24"/>
      <w:lang w:val="en-GB" w:eastAsia="ja-JP"/>
    </w:rPr>
  </w:style>
  <w:style w:type="character" w:customStyle="1" w:styleId="105">
    <w:name w:val="Body Text Char"/>
    <w:basedOn w:val="12"/>
    <w:link w:val="15"/>
    <w:semiHidden/>
    <w:qFormat/>
    <w:uiPriority w:val="0"/>
    <w:rPr>
      <w:rFonts w:ascii="Times New Roman" w:hAnsi="Times New Roman"/>
      <w:lang w:val="en-GB"/>
    </w:rPr>
  </w:style>
  <w:style w:type="paragraph" w:customStyle="1" w:styleId="106">
    <w:name w:val="Revision3"/>
    <w:hidden/>
    <w:unhideWhenUsed/>
    <w:qFormat/>
    <w:uiPriority w:val="99"/>
    <w:rPr>
      <w:rFonts w:ascii="Times New Roman" w:hAnsi="Times New Roman" w:eastAsia="SimSun" w:cs="Times New Roman"/>
      <w:lang w:val="en-GB" w:eastAsia="en-US" w:bidi="ar-SA"/>
    </w:rPr>
  </w:style>
  <w:style w:type="character" w:customStyle="1" w:styleId="107">
    <w:name w:val="Heading 3 Char"/>
    <w:basedOn w:val="12"/>
    <w:link w:val="4"/>
    <w:qFormat/>
    <w:uiPriority w:val="0"/>
    <w:rPr>
      <w:rFonts w:ascii="Arial" w:hAnsi="Arial"/>
      <w:sz w:val="28"/>
      <w:lang w:val="en-GB" w:eastAsia="en-US"/>
    </w:rPr>
  </w:style>
  <w:style w:type="paragraph" w:customStyle="1" w:styleId="108">
    <w:name w:val="Revision4"/>
    <w:hidden/>
    <w:semiHidden/>
    <w:qFormat/>
    <w:uiPriority w:val="99"/>
    <w:rPr>
      <w:rFonts w:ascii="Times New Roman" w:hAnsi="Times New Roman" w:eastAsia="SimSu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D8878C7F-6901-493E-B1BD-2698BC06423A}">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5</Pages>
  <Words>1339</Words>
  <Characters>7636</Characters>
  <Lines>63</Lines>
  <Paragraphs>17</Paragraphs>
  <TotalTime>19</TotalTime>
  <ScaleCrop>false</ScaleCrop>
  <LinksUpToDate>false</LinksUpToDate>
  <CharactersWithSpaces>8958</CharactersWithSpaces>
  <Application>WPS Office_12.1.23143.23143_F1E327BC-269C-435d-A152-05C5408002CA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2025-11-05T19:25:00Z</dcterms:created>
  <dc:creator>CATT</dc:creator>
  <cp:lastModifiedBy>Thales (Rapporteur)</cp:lastModifiedBy>
  <cp:lastPrinted>1900-12-31T22:00:00Z</cp:lastPrinted>
  <dcterms:modified xsi:type="dcterms:W3CDTF">2025-11-20T18:56:42Z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b788f990256411f08000595b0000595b">
    <vt:lpwstr>CWMaSbWMdBjMR+W5sTKvOC16ig73qtzuEoceenYezOMZNtIgnLNnRTvLwDPD6SFmWsTlHubKvGT3Y/JLSzfwTwrAA==</vt:lpwstr>
  </property>
  <property fmtid="{D5CDD505-2E9C-101B-9397-08002B2CF9AE}" pid="22" name="KSOProductBuildVer">
    <vt:lpwstr>1033-12.1.23143.23143</vt:lpwstr>
  </property>
  <property fmtid="{D5CDD505-2E9C-101B-9397-08002B2CF9AE}" pid="23" name="ICV">
    <vt:lpwstr>5A7483FC21FF4A8FAB64229590874231</vt:lpwstr>
  </property>
</Properties>
</file>